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ICS  </w:t>
            </w:r>
          </w:p>
        </w:tc>
        <w:tc>
          <w:tcPr>
            <w:tcW w:w="8855" w:type="dxa"/>
          </w:tcPr>
          <w:p>
            <w:pPr>
              <w:pStyle w:val="19"/>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65.020.01"/>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65.020.01</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t xml:space="preserve">CCS  </w:t>
            </w:r>
          </w:p>
        </w:tc>
        <w:tc>
          <w:tcPr>
            <w:tcW w:w="8855" w:type="dxa"/>
          </w:tcPr>
          <w:p>
            <w:pPr>
              <w:pStyle w:val="19"/>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B65"/>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B65</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1"/>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true"/>
                          </pic:cNvPicPr>
                        </pic:nvPicPr>
                        <pic:blipFill>
                          <a:blip r:embed="rId18" cstate="print">
                            <a:extLst>
                              <a:ext uri="{28A0092B-C50C-407E-A947-70E740481C1C}">
                                <a14:useLocalDpi xmlns:a14="http://schemas.microsoft.com/office/drawing/2010/main" val="false"/>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default w:val="1501"/>
                    <w:maxLength w:val="8"/>
                  </w:textInput>
                </w:ffData>
              </w:fldChar>
            </w:r>
            <w:bookmarkStart w:id="3" w:name="c1"/>
            <w:r>
              <w:instrText xml:space="preserve"> FORMTEXT </w:instrText>
            </w:r>
            <w:r>
              <w:fldChar w:fldCharType="separate"/>
            </w:r>
            <w:r>
              <w:t>1501</w:t>
            </w:r>
            <w:r>
              <w:fldChar w:fldCharType="end"/>
            </w:r>
            <w:bookmarkEnd w:id="3"/>
          </w:p>
        </w:tc>
      </w:tr>
    </w:tbl>
    <w:p>
      <w:pPr>
        <w:pStyle w:val="52"/>
        <w:framePr w:w="9639" w:h="624" w:hRule="exact" w:hSpace="181" w:vSpace="181" w:hAnchor="page" w:x="1305" w:y="2269"/>
        <w:ind w:firstLine="420"/>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呼和浩特市"/>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呼和浩特市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7"/>
        <w:rPr>
          <w:lang w:val="fr-FR"/>
        </w:rPr>
      </w:pPr>
      <w:r>
        <w:rPr>
          <w:lang w:val="fr-FR"/>
        </w:rPr>
        <w:t>DB</w:t>
      </w:r>
      <w:r>
        <w:rPr>
          <w:sz w:val="15"/>
          <w:szCs w:val="15"/>
          <w:lang w:val="fr-FR"/>
        </w:rPr>
        <w:t xml:space="preserve"> </w:t>
      </w:r>
      <w:r>
        <w:fldChar w:fldCharType="begin">
          <w:ffData>
            <w:name w:val="文字1"/>
            <w:enabled/>
            <w:calcOnExit w:val="0"/>
            <w:textInput>
              <w:default w:val="1501/T"/>
            </w:textInput>
          </w:ffData>
        </w:fldChar>
      </w:r>
      <w:bookmarkStart w:id="5" w:name="文字1"/>
      <w:r>
        <w:instrText xml:space="preserve"> FORMTEXT </w:instrText>
      </w:r>
      <w:r>
        <w:fldChar w:fldCharType="separate"/>
      </w:r>
      <w:r>
        <w:t>1501/T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8"/>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En04FrMAQAAYQ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Ev5GpqXjUlRbB0Xnr&#10;4Q02VAabiFm2sfUmoZIgbMzu7E7uyDEyQZvnUzK8JBPFMVdAdWx0PsTXEg1LPzXXyibhoILtdYhp&#10;EKiOJWnb4pXSOpuvLRtq/upsdpYbAmrVpGQqC75bL7VnW0jXJ3+ZFWUelnnc2GZ/iLYH0onnXrQ1&#10;NruVP4pBPuZpDncuXZSH69x9/zIW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WAAAAZHJzL1BLAQIUABQAAAAIAIdO4kAng0mW2AAAAAwB&#10;AAAPAAAAAAAAAAEAIAAAADgAAABkcnMvZG93bnJldi54bWxQSwECFAAUAAAACACHTuJASfTgWswB&#10;AABhAwAADgAAAAAAAAABACAAAAA9AQAAZHJzL2Uyb0RvYy54bWxQSwUGAAAAAAYABgBZAQAAewUA&#10;AAAA&#10;">
                <v:fill on="f" focussize="0,0"/>
                <v:stroke color="#000000" joinstyle="round"/>
                <v:imagedata o:title=""/>
                <o:lock v:ext="edit" aspectratio="f"/>
              </v:line>
            </w:pict>
          </mc:Fallback>
        </mc:AlternateContent>
      </w:r>
    </w:p>
    <w:p>
      <w:pPr>
        <w:pStyle w:val="52"/>
        <w:framePr w:w="9639" w:h="6976" w:hRule="exact" w:hSpace="0" w:vSpace="0" w:hAnchor="page" w:y="6408"/>
        <w:jc w:val="center"/>
        <w:rPr>
          <w:rFonts w:ascii="黑体" w:hAnsi="黑体" w:eastAsia="黑体"/>
          <w:b w:val="0"/>
          <w:bCs w:val="0"/>
          <w:w w:val="100"/>
        </w:rPr>
      </w:pPr>
    </w:p>
    <w:p>
      <w:pPr>
        <w:pStyle w:val="199"/>
        <w:framePr w:h="6974" w:hRule="exact" w:wrap="around" w:x="1419" w:anchorLock="1"/>
      </w:pPr>
      <w:r>
        <w:fldChar w:fldCharType="begin">
          <w:ffData>
            <w:name w:val="CSTD_NAME"/>
            <w:enabled/>
            <w:calcOnExit w:val="0"/>
            <w:textInput>
              <w:default w:val="林业有害生物远程智能监测基站选址规范"/>
            </w:textInput>
          </w:ffData>
        </w:fldChar>
      </w:r>
      <w:bookmarkStart w:id="9" w:name="CSTD_NAME"/>
      <w:r>
        <w:instrText xml:space="preserve"> FORMTEXT </w:instrText>
      </w:r>
      <w:r>
        <w:fldChar w:fldCharType="separate"/>
      </w:r>
      <w:r>
        <w:rPr>
          <w:rFonts w:hint="eastAsia"/>
        </w:rPr>
        <w:t>林业有害生物远程智能监测基站选址规范</w:t>
      </w:r>
      <w:r>
        <w:fldChar w:fldCharType="end"/>
      </w:r>
      <w:bookmarkEnd w:id="9"/>
    </w:p>
    <w:p>
      <w:pPr>
        <w:framePr w:w="9639" w:h="6974" w:hRule="exact" w:wrap="around" w:vAnchor="page" w:hAnchor="page" w:x="1419" w:y="6408" w:anchorLock="1"/>
        <w:ind w:left="-1418"/>
      </w:pPr>
    </w:p>
    <w:p>
      <w:pPr>
        <w:pStyle w:val="127"/>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Site selection specification of remote intelligent monitoring station for forest pests"/>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Site selection specification of remote intelligent monitoring station for forest pests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7"/>
        <w:framePr w:w="9639" w:h="6974" w:hRule="exact" w:wrap="around" w:vAnchor="page" w:hAnchor="page" w:x="1419" w:y="6408" w:anchorLock="1"/>
        <w:textAlignment w:val="bottom"/>
        <w:rPr>
          <w:rFonts w:eastAsia="黑体"/>
          <w:szCs w:val="28"/>
        </w:rPr>
      </w:pPr>
    </w:p>
    <w:p>
      <w:pPr>
        <w:pStyle w:val="127"/>
        <w:framePr w:w="9639" w:h="6974" w:hRule="exact" w:wrap="around" w:vAnchor="page" w:hAnchor="page" w:x="1419" w:y="6408" w:anchorLock="1"/>
        <w:spacing w:before="440" w:after="160"/>
        <w:textAlignment w:val="bottom"/>
        <w:rPr>
          <w:sz w:val="24"/>
          <w:szCs w:val="28"/>
        </w:rPr>
      </w:pPr>
      <w:r>
        <w:rPr>
          <w:rFonts w:hint="eastAsia"/>
          <w:sz w:val="24"/>
          <w:szCs w:val="28"/>
          <w:lang w:eastAsia="zh-CN"/>
        </w:rPr>
        <w:t>（征求意见稿）</w:t>
      </w:r>
      <w:bookmarkStart w:id="44" w:name="_GoBack"/>
      <w:bookmarkEnd w:id="44"/>
    </w:p>
    <w:p>
      <w:pPr>
        <w:pStyle w:val="195"/>
        <w:framePr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pPr>
        <w:pStyle w:val="196"/>
        <w:framePr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pPr>
        <w:pStyle w:val="153"/>
        <w:framePr w:h="584" w:hRule="exact" w:hSpace="181" w:vSpace="181" w:y="15027"/>
        <w:rPr>
          <w:rFonts w:hAnsi="黑体"/>
        </w:rPr>
      </w:pPr>
      <w:r>
        <w:rPr>
          <w:rFonts w:hAnsi="黑体"/>
          <w:w w:val="100"/>
          <w:sz w:val="28"/>
        </w:rPr>
        <w:fldChar w:fldCharType="begin">
          <w:ffData>
            <w:name w:val="fm"/>
            <w:enabled/>
            <w:calcOnExit w:val="0"/>
            <w:textInput>
              <w:default w:val="呼和浩特市市场监督管理局"/>
            </w:textInput>
          </w:ffData>
        </w:fldChar>
      </w:r>
      <w:bookmarkStart w:id="17" w:name="fm"/>
      <w:r>
        <w:rPr>
          <w:rFonts w:hAnsi="黑体"/>
          <w:w w:val="100"/>
          <w:sz w:val="28"/>
        </w:rPr>
        <w:instrText xml:space="preserve"> FORMTEXT </w:instrText>
      </w:r>
      <w:r>
        <w:rPr>
          <w:rFonts w:hAnsi="黑体"/>
          <w:w w:val="100"/>
          <w:sz w:val="28"/>
        </w:rPr>
        <w:fldChar w:fldCharType="separate"/>
      </w:r>
      <w:r>
        <w:rPr>
          <w:rFonts w:hAnsi="黑体"/>
          <w:w w:val="100"/>
          <w:sz w:val="28"/>
        </w:rPr>
        <w:t>呼和浩特市市场监督管理局</w:t>
      </w:r>
      <w:r>
        <w:rPr>
          <w:rFonts w:hAnsi="黑体"/>
          <w:w w:val="100"/>
          <w:sz w:val="28"/>
        </w:rPr>
        <w:fldChar w:fldCharType="end"/>
      </w:r>
      <w:bookmarkEnd w:id="17"/>
      <w:r>
        <w:rPr>
          <w:rFonts w:ascii="Times New Roman"/>
          <w:w w:val="100"/>
          <w:sz w:val="28"/>
        </w:rPr>
        <w:t>  </w:t>
      </w:r>
      <w:r>
        <w:rPr>
          <w:rStyle w:val="231"/>
          <w:rFonts w:hint="eastAsia" w:hAnsi="黑体"/>
          <w:position w:val="0"/>
        </w:rPr>
        <w:t>发</w:t>
      </w:r>
      <w:r>
        <w:rPr>
          <w:rStyle w:val="231"/>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true"/>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Ec9x0soBAABf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IfitTU/FXV1oER6dthjfY&#10;UBlsI2bRxtabhEpysDF7sz97I8fIBG1eTMnukiwUp1wB1anR+RBfSzQs/dRcK5tkgwp2NyGmQaA6&#10;laRti9dK62y9tmyo+av5bJ4bAmrVpGQqC77brLRnO0iXJ3+ZFWUelnnc2uZwiLZH0onnQbQNNvu1&#10;P4lBLuZpjjcuXZOH69z9510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WAAAAZHJzL1BLAQIUABQAAAAIAIdO4kCrMxz71wAAAA4BAAAP&#10;AAAAAAAAAAEAIAAAADgAAABkcnMvZG93bnJldi54bWxQSwECFAAUAAAACACHTuJAEc9x0soBAABf&#10;AwAADgAAAAAAAAABACAAAAA8AQAAZHJzL2Uyb0RvYy54bWxQSwUGAAAAAAYABgBZAQAAeAUAAAAA&#10;">
                <v:fill on="f" focussize="0,0"/>
                <v:stroke color="#000000" joinstyle="round"/>
                <v:imagedata o:title=""/>
                <o:lock v:ext="edit" aspectratio="f"/>
                <w10:anchorlock/>
              </v:line>
            </w:pict>
          </mc:Fallback>
        </mc:AlternateContent>
      </w:r>
    </w:p>
    <w:p>
      <w:pPr>
        <w:pStyle w:val="91"/>
        <w:spacing w:after="468"/>
      </w:pPr>
      <w:bookmarkStart w:id="18" w:name="BookMark2"/>
      <w:r>
        <w:rPr>
          <w:spacing w:val="320"/>
        </w:rPr>
        <w:t>前</w:t>
      </w:r>
      <w:r>
        <w:t>言</w:t>
      </w:r>
    </w:p>
    <w:p>
      <w:pPr>
        <w:pStyle w:val="58"/>
        <w:ind w:firstLine="420"/>
      </w:pPr>
      <w:r>
        <w:rPr>
          <w:rFonts w:hint="eastAsia"/>
        </w:rPr>
        <w:t>本文件按照GB/T 1.1—2020《标准化工作导则  第1部分：标准化文件的结构和起草规则》的规定起草。</w:t>
      </w:r>
    </w:p>
    <w:p>
      <w:pPr>
        <w:pStyle w:val="58"/>
        <w:ind w:firstLine="420"/>
      </w:pPr>
      <w:r>
        <w:rPr>
          <w:rFonts w:hint="eastAsia"/>
        </w:rPr>
        <w:t>本文件由呼和浩特市林业和草原局提出并归口。</w:t>
      </w:r>
    </w:p>
    <w:p>
      <w:pPr>
        <w:pStyle w:val="58"/>
        <w:ind w:firstLine="420"/>
      </w:pPr>
      <w:r>
        <w:rPr>
          <w:rFonts w:hint="eastAsia"/>
        </w:rPr>
        <w:t>本文件起草单位：呼和浩特市林业和草原保护中心、内蒙古小草数字生态产业有限公司。</w:t>
      </w:r>
    </w:p>
    <w:p>
      <w:pPr>
        <w:pStyle w:val="58"/>
        <w:ind w:firstLine="420"/>
      </w:pPr>
      <w:r>
        <w:rPr>
          <w:rFonts w:hint="eastAsia"/>
        </w:rPr>
        <w:t>本文件主要起草人：韩丽、张素华、门晓光、贾晨光、关占荣、王静、闫美霞、杜鹏、高俊刚、郝媛媛、杨柳、刘岳坤、郝璐、田秀峰、高山、高永春、白龙、巴音布和、王布赫、胡建京、刘红成、董进瑞。</w:t>
      </w: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Pr>
        <w:pStyle w:val="58"/>
        <w:ind w:firstLine="420"/>
      </w:pPr>
    </w:p>
    <w:p/>
    <w:p/>
    <w:p/>
    <w:p/>
    <w:p/>
    <w:p/>
    <w:p/>
    <w:p>
      <w:pPr>
        <w:rPr>
          <w:rFonts w:ascii="宋体" w:hAnsi="Times New Roman"/>
          <w:kern w:val="0"/>
          <w:szCs w:val="20"/>
        </w:rPr>
      </w:pPr>
    </w:p>
    <w:p/>
    <w:p/>
    <w:p/>
    <w:p/>
    <w:p/>
    <w:p/>
    <w:p>
      <w:pPr>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18"/>
    <w:p>
      <w:pPr>
        <w:spacing w:line="20" w:lineRule="exact"/>
        <w:jc w:val="center"/>
        <w:rPr>
          <w:rFonts w:ascii="黑体" w:hAnsi="黑体" w:eastAsia="黑体"/>
          <w:sz w:val="32"/>
          <w:szCs w:val="32"/>
        </w:rPr>
      </w:pPr>
      <w:bookmarkStart w:id="19" w:name="BookMark4"/>
    </w:p>
    <w:p>
      <w:pPr>
        <w:spacing w:line="20" w:lineRule="exact"/>
        <w:jc w:val="center"/>
        <w:rPr>
          <w:rFonts w:ascii="黑体" w:hAnsi="黑体" w:eastAsia="黑体"/>
          <w:sz w:val="32"/>
          <w:szCs w:val="32"/>
        </w:rPr>
      </w:pPr>
    </w:p>
    <w:sdt>
      <w:sdtPr>
        <w:tag w:val="NEW_STAND_NAME"/>
        <w:id w:val="595910757"/>
        <w:lock w:val="sdtLocked"/>
        <w:placeholder>
          <w:docPart w:val="C0602D070A3C4547855F3BB7B1485BBB"/>
        </w:placeholder>
      </w:sdtPr>
      <w:sdtContent>
        <w:p>
          <w:pPr>
            <w:pStyle w:val="179"/>
            <w:spacing w:before="312" w:beforeLines="100" w:after="686" w:afterLines="220"/>
          </w:pPr>
          <w:bookmarkStart w:id="20" w:name="NEW_STAND_NAME"/>
          <w:r>
            <w:rPr>
              <w:rFonts w:hint="eastAsia"/>
            </w:rPr>
            <w:t>林业有害生物远程智能监测基站选址规范</w:t>
          </w:r>
        </w:p>
      </w:sdtContent>
    </w:sdt>
    <w:bookmarkEnd w:id="20"/>
    <w:p>
      <w:pPr>
        <w:pStyle w:val="106"/>
        <w:spacing w:before="312" w:after="312"/>
      </w:pPr>
      <w:bookmarkStart w:id="21" w:name="_Toc97191423"/>
      <w:bookmarkStart w:id="22" w:name="_Toc24884211"/>
      <w:bookmarkStart w:id="23" w:name="_Toc26986771"/>
      <w:bookmarkStart w:id="24" w:name="_Toc26986530"/>
      <w:bookmarkStart w:id="25" w:name="_Toc26718930"/>
      <w:bookmarkStart w:id="26" w:name="_Toc17233333"/>
      <w:bookmarkStart w:id="27" w:name="_Toc26648465"/>
      <w:bookmarkStart w:id="28" w:name="_Toc17233325"/>
      <w:bookmarkStart w:id="29" w:name="_Toc24884218"/>
      <w:r>
        <w:rPr>
          <w:rFonts w:hint="eastAsia"/>
        </w:rPr>
        <w:t>范围</w:t>
      </w:r>
      <w:bookmarkEnd w:id="21"/>
      <w:bookmarkEnd w:id="22"/>
      <w:bookmarkEnd w:id="23"/>
      <w:bookmarkEnd w:id="24"/>
      <w:bookmarkEnd w:id="25"/>
      <w:bookmarkEnd w:id="26"/>
      <w:bookmarkEnd w:id="27"/>
      <w:bookmarkEnd w:id="28"/>
      <w:bookmarkEnd w:id="29"/>
    </w:p>
    <w:p>
      <w:pPr>
        <w:pStyle w:val="58"/>
        <w:ind w:firstLine="420"/>
      </w:pPr>
      <w:bookmarkStart w:id="30" w:name="_Toc17233334"/>
      <w:bookmarkStart w:id="31" w:name="_Toc24884212"/>
      <w:bookmarkStart w:id="32" w:name="_Toc26648466"/>
      <w:bookmarkStart w:id="33" w:name="_Toc24884219"/>
      <w:bookmarkStart w:id="34" w:name="_Toc17233326"/>
      <w:r>
        <w:rPr>
          <w:rFonts w:hint="eastAsia"/>
        </w:rPr>
        <w:t>本文件规定了林业有害生物远程智能监测</w:t>
      </w:r>
      <w:r>
        <w:rPr>
          <w:rFonts w:hint="eastAsia"/>
          <w:lang w:eastAsia="zh-Hans"/>
        </w:rPr>
        <w:t>基</w:t>
      </w:r>
      <w:r>
        <w:rPr>
          <w:rFonts w:hint="eastAsia"/>
        </w:rPr>
        <w:t>站选址地点及环境条件</w:t>
      </w:r>
      <w:r>
        <w:rPr>
          <w:rFonts w:hint="eastAsia"/>
          <w:lang w:eastAsia="zh-Hans"/>
        </w:rPr>
        <w:t>的技术</w:t>
      </w:r>
      <w:r>
        <w:rPr>
          <w:rFonts w:hint="eastAsia"/>
        </w:rPr>
        <w:t>要求。</w:t>
      </w:r>
    </w:p>
    <w:p>
      <w:pPr>
        <w:pStyle w:val="58"/>
        <w:ind w:firstLine="420"/>
      </w:pPr>
      <w:r>
        <w:rPr>
          <w:rFonts w:hint="eastAsia"/>
        </w:rPr>
        <w:t>本文件适用于呼和浩特市行政区域内林业</w:t>
      </w:r>
      <w:r>
        <w:rPr>
          <w:rFonts w:hint="eastAsia"/>
          <w:lang w:eastAsia="zh-Hans"/>
        </w:rPr>
        <w:t>有</w:t>
      </w:r>
      <w:r>
        <w:rPr>
          <w:rFonts w:hint="eastAsia"/>
        </w:rPr>
        <w:t>害</w:t>
      </w:r>
      <w:r>
        <w:rPr>
          <w:rFonts w:hint="eastAsia"/>
          <w:lang w:eastAsia="zh-Hans"/>
        </w:rPr>
        <w:t>生</w:t>
      </w:r>
      <w:r>
        <w:rPr>
          <w:rFonts w:hint="eastAsia"/>
        </w:rPr>
        <w:t>物</w:t>
      </w:r>
      <w:r>
        <w:rPr>
          <w:rFonts w:hint="eastAsia"/>
          <w:lang w:eastAsia="zh-Hans"/>
        </w:rPr>
        <w:t>远程智能监测基站的</w:t>
      </w:r>
      <w:r>
        <w:rPr>
          <w:rFonts w:hint="eastAsia"/>
        </w:rPr>
        <w:t>选</w:t>
      </w:r>
      <w:r>
        <w:rPr>
          <w:rFonts w:hint="eastAsia"/>
          <w:lang w:eastAsia="zh-Hans"/>
        </w:rPr>
        <w:t>址</w:t>
      </w:r>
      <w:r>
        <w:rPr>
          <w:rFonts w:hint="eastAsia"/>
        </w:rPr>
        <w:t>。</w:t>
      </w:r>
    </w:p>
    <w:p>
      <w:pPr>
        <w:pStyle w:val="106"/>
        <w:spacing w:before="312" w:after="312"/>
      </w:pPr>
      <w:bookmarkStart w:id="35" w:name="_Toc26986772"/>
      <w:bookmarkStart w:id="36" w:name="_Toc26986531"/>
      <w:bookmarkStart w:id="37" w:name="_Toc97191424"/>
      <w:bookmarkStart w:id="38" w:name="_Toc26718931"/>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56CA43435A214042AE4FF1E08810765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2"/>
        <w:keepNext w:val="0"/>
        <w:keepLines w:val="0"/>
        <w:widowControl/>
        <w:wordWrap w:val="0"/>
        <w:spacing w:before="0" w:after="0" w:line="240" w:lineRule="auto"/>
        <w:ind w:firstLine="420" w:firstLineChars="200"/>
        <w:rPr>
          <w:rFonts w:ascii="宋体" w:hAnsi="Times New Roman"/>
          <w:b w:val="0"/>
          <w:bCs w:val="0"/>
          <w:kern w:val="0"/>
          <w:sz w:val="21"/>
          <w:szCs w:val="20"/>
        </w:rPr>
      </w:pPr>
      <w:r>
        <w:rPr>
          <w:rFonts w:ascii="宋体" w:hAnsi="Times New Roman"/>
          <w:b w:val="0"/>
          <w:bCs w:val="0"/>
          <w:kern w:val="0"/>
          <w:sz w:val="21"/>
          <w:szCs w:val="20"/>
        </w:rPr>
        <w:t xml:space="preserve">GB 50057  </w:t>
      </w:r>
      <w:r>
        <w:rPr>
          <w:rFonts w:hint="eastAsia" w:ascii="宋体" w:hAnsi="Times New Roman"/>
          <w:b w:val="0"/>
          <w:bCs w:val="0"/>
          <w:kern w:val="0"/>
          <w:sz w:val="21"/>
          <w:szCs w:val="20"/>
        </w:rPr>
        <w:t>建筑物防雷设计规范</w:t>
      </w:r>
    </w:p>
    <w:p>
      <w:pPr>
        <w:pStyle w:val="58"/>
        <w:ind w:firstLine="420"/>
      </w:pPr>
      <w:r>
        <w:rPr>
          <w:rFonts w:hint="eastAsia"/>
        </w:rPr>
        <w:t>GB</w:t>
      </w:r>
      <w:r>
        <w:rPr>
          <w:b/>
          <w:bCs/>
        </w:rPr>
        <w:t xml:space="preserve"> </w:t>
      </w:r>
      <w:r>
        <w:rPr>
          <w:rFonts w:hint="eastAsia"/>
        </w:rPr>
        <w:t>50</w:t>
      </w:r>
      <w:r>
        <w:t xml:space="preserve">204 </w:t>
      </w:r>
      <w:r>
        <w:rPr>
          <w:b/>
          <w:bCs/>
        </w:rPr>
        <w:t xml:space="preserve"> </w:t>
      </w:r>
      <w:r>
        <w:rPr>
          <w:rFonts w:hint="eastAsia"/>
        </w:rPr>
        <w:t>混凝土结构工程施工质量验收规范</w:t>
      </w:r>
    </w:p>
    <w:p>
      <w:pPr>
        <w:pStyle w:val="58"/>
        <w:ind w:firstLine="420"/>
      </w:pPr>
      <w:r>
        <w:rPr>
          <w:rFonts w:hint="eastAsia"/>
        </w:rPr>
        <w:t>LY/T 2517  林业有害生物监测预报管理规范</w:t>
      </w:r>
    </w:p>
    <w:p>
      <w:pPr>
        <w:pStyle w:val="106"/>
        <w:spacing w:before="312" w:after="312"/>
      </w:pPr>
      <w:bookmarkStart w:id="39" w:name="_Toc97191425"/>
      <w:r>
        <w:rPr>
          <w:rFonts w:hint="eastAsia"/>
          <w:szCs w:val="21"/>
        </w:rPr>
        <w:t>术语和定义</w:t>
      </w:r>
      <w:bookmarkEnd w:id="39"/>
    </w:p>
    <w:sdt>
      <w:sdtPr>
        <w:id w:val="-1909835108"/>
        <w:placeholder>
          <w:docPart w:val="0B081B5B449B47CFBFF4AAEC63BFAFC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8"/>
            <w:ind w:firstLine="420"/>
          </w:pPr>
          <w:bookmarkStart w:id="40" w:name="_Toc26986532"/>
          <w:bookmarkEnd w:id="40"/>
          <w:r>
            <w:t>下列术语和定义适用于本文件。</w:t>
          </w:r>
        </w:p>
      </w:sdtContent>
    </w:sdt>
    <w:p>
      <w:pPr>
        <w:pStyle w:val="107"/>
        <w:spacing w:before="156" w:after="156"/>
      </w:pPr>
    </w:p>
    <w:p>
      <w:pPr>
        <w:pStyle w:val="107"/>
        <w:numPr>
          <w:ilvl w:val="0"/>
          <w:numId w:val="0"/>
        </w:numPr>
        <w:spacing w:before="156" w:after="156"/>
        <w:ind w:firstLine="420" w:firstLineChars="200"/>
      </w:pPr>
      <w:r>
        <w:t>林分</w:t>
      </w:r>
      <w:r>
        <w:rPr>
          <w:rFonts w:hint="eastAsia"/>
        </w:rPr>
        <w:t xml:space="preserve"> </w:t>
      </w:r>
      <w:r>
        <w:t xml:space="preserve"> forest stand</w:t>
      </w:r>
    </w:p>
    <w:p>
      <w:pPr>
        <w:pStyle w:val="58"/>
        <w:ind w:firstLine="420"/>
      </w:pPr>
      <w:r>
        <w:rPr>
          <w:rFonts w:hint="eastAsia"/>
        </w:rPr>
        <w:t>森林</w:t>
      </w:r>
      <w:r>
        <w:t>的内部结构特征</w:t>
      </w:r>
      <w:r>
        <w:rPr>
          <w:rFonts w:hint="eastAsia"/>
        </w:rPr>
        <w:t>，</w:t>
      </w:r>
      <w:r>
        <w:t>即树种组成、林层或林相、疏密度、</w:t>
      </w:r>
      <w:r>
        <w:rPr>
          <w:rFonts w:hint="eastAsia"/>
        </w:rPr>
        <w:t>林</w:t>
      </w:r>
      <w:r>
        <w:t>龄、起源、地位级等主要调查因子相同并与四周有明显区别的有林地。</w:t>
      </w:r>
    </w:p>
    <w:p>
      <w:pPr>
        <w:pStyle w:val="107"/>
        <w:spacing w:before="156" w:after="156"/>
      </w:pPr>
    </w:p>
    <w:p>
      <w:pPr>
        <w:pStyle w:val="107"/>
        <w:numPr>
          <w:ilvl w:val="0"/>
          <w:numId w:val="0"/>
        </w:numPr>
        <w:spacing w:before="156" w:after="156"/>
        <w:ind w:firstLine="420" w:firstLineChars="200"/>
      </w:pPr>
      <w:r>
        <w:t>林业有害生物</w:t>
      </w:r>
      <w:r>
        <w:rPr>
          <w:rFonts w:hint="eastAsia"/>
        </w:rPr>
        <w:t xml:space="preserve"> </w:t>
      </w:r>
      <w:r>
        <w:t xml:space="preserve"> forest pest</w:t>
      </w:r>
      <w:r>
        <w:rPr>
          <w:rFonts w:hint="eastAsia"/>
        </w:rPr>
        <w:t>s</w:t>
      </w:r>
    </w:p>
    <w:p>
      <w:pPr>
        <w:pStyle w:val="58"/>
        <w:ind w:firstLine="420"/>
      </w:pPr>
      <w:r>
        <w:rPr>
          <w:rFonts w:hint="eastAsia"/>
        </w:rPr>
        <w:t>影响</w:t>
      </w:r>
      <w:r>
        <w:t>森林、林木和林木种子正常生长并造成经济损失的病</w:t>
      </w:r>
      <w:r>
        <w:rPr>
          <w:rFonts w:hint="eastAsia"/>
        </w:rPr>
        <w:t>、</w:t>
      </w:r>
      <w:r>
        <w:t>虫</w:t>
      </w:r>
      <w:r>
        <w:rPr>
          <w:rFonts w:hint="eastAsia"/>
        </w:rPr>
        <w:t>鼠、</w:t>
      </w:r>
      <w:r>
        <w:t>杂草等有害生物。</w:t>
      </w:r>
    </w:p>
    <w:p>
      <w:pPr>
        <w:pStyle w:val="107"/>
        <w:spacing w:before="156" w:after="156"/>
      </w:pPr>
    </w:p>
    <w:p>
      <w:pPr>
        <w:pStyle w:val="107"/>
        <w:numPr>
          <w:ilvl w:val="0"/>
          <w:numId w:val="0"/>
        </w:numPr>
        <w:spacing w:before="156" w:after="156"/>
        <w:ind w:firstLine="420" w:firstLineChars="200"/>
      </w:pPr>
      <w:r>
        <w:t>监测</w:t>
      </w:r>
      <w:r>
        <w:rPr>
          <w:rFonts w:hint="eastAsia"/>
        </w:rPr>
        <w:t xml:space="preserve"> </w:t>
      </w:r>
      <w:r>
        <w:t xml:space="preserve"> monitor</w:t>
      </w:r>
    </w:p>
    <w:p>
      <w:pPr>
        <w:pStyle w:val="58"/>
        <w:ind w:firstLine="420"/>
      </w:pPr>
      <w:r>
        <w:rPr>
          <w:rFonts w:hint="eastAsia"/>
        </w:rPr>
        <w:t>连续观测林业有害生物的发生种类、发生期、发生量、发生范围、危害程度的实时动态信息</w:t>
      </w:r>
      <w:r>
        <w:t>。</w:t>
      </w:r>
    </w:p>
    <w:p>
      <w:pPr>
        <w:pStyle w:val="107"/>
        <w:spacing w:before="156" w:after="156"/>
      </w:pPr>
    </w:p>
    <w:p>
      <w:pPr>
        <w:pStyle w:val="107"/>
        <w:numPr>
          <w:ilvl w:val="0"/>
          <w:numId w:val="0"/>
        </w:numPr>
        <w:spacing w:before="156" w:after="156"/>
        <w:ind w:firstLine="420" w:firstLineChars="200"/>
      </w:pPr>
      <w:r>
        <w:t>远程智能监测</w:t>
      </w:r>
      <w:r>
        <w:rPr>
          <w:rFonts w:hint="eastAsia"/>
        </w:rPr>
        <w:t xml:space="preserve"> </w:t>
      </w:r>
      <w:r>
        <w:t xml:space="preserve"> </w:t>
      </w:r>
      <w:r>
        <w:rPr>
          <w:rFonts w:hint="eastAsia"/>
        </w:rPr>
        <w:t>r</w:t>
      </w:r>
      <w:r>
        <w:t>emote intelligent monitoring</w:t>
      </w:r>
    </w:p>
    <w:p>
      <w:pPr>
        <w:pStyle w:val="58"/>
        <w:ind w:firstLine="420"/>
      </w:pPr>
      <w:r>
        <w:t>通过视频采集、远程通信技术和智能监控设备进行区域监测、数据采集和分析。</w:t>
      </w:r>
    </w:p>
    <w:p>
      <w:pPr>
        <w:pStyle w:val="107"/>
        <w:spacing w:before="156" w:after="156"/>
      </w:pPr>
    </w:p>
    <w:p>
      <w:pPr>
        <w:pStyle w:val="107"/>
        <w:numPr>
          <w:ilvl w:val="0"/>
          <w:numId w:val="0"/>
        </w:numPr>
        <w:spacing w:before="156" w:after="156"/>
        <w:ind w:firstLine="420" w:firstLineChars="200"/>
      </w:pPr>
      <w:r>
        <w:t>基站</w:t>
      </w:r>
      <w:r>
        <w:rPr>
          <w:rFonts w:hint="eastAsia"/>
        </w:rPr>
        <w:t xml:space="preserve"> </w:t>
      </w:r>
      <w:r>
        <w:t xml:space="preserve"> base station</w:t>
      </w:r>
    </w:p>
    <w:p>
      <w:pPr>
        <w:pStyle w:val="58"/>
        <w:ind w:firstLine="420"/>
      </w:pPr>
      <w:r>
        <w:t>长期连续收集林分内主要林业有害生物种类、发生危害情况、气候因子、林分状况等信息的监测地点。</w:t>
      </w:r>
    </w:p>
    <w:p>
      <w:pPr>
        <w:pStyle w:val="107"/>
        <w:spacing w:before="156" w:after="156"/>
      </w:pPr>
    </w:p>
    <w:p>
      <w:pPr>
        <w:pStyle w:val="107"/>
        <w:numPr>
          <w:ilvl w:val="0"/>
          <w:numId w:val="0"/>
        </w:numPr>
        <w:spacing w:before="156" w:after="156"/>
        <w:ind w:firstLine="420" w:firstLineChars="200"/>
      </w:pPr>
      <w:r>
        <w:t>Mbps  megabits per second</w:t>
      </w:r>
    </w:p>
    <w:p>
      <w:pPr>
        <w:pStyle w:val="58"/>
        <w:ind w:firstLine="420"/>
      </w:pPr>
      <w:r>
        <w:t>传输速率单位，每秒传输的位（比特）数量。1Mbps代表每秒传输1，000，000位（bit），即每秒传输的数据量为：1，000，000/8=125，000Byte/s。</w:t>
      </w:r>
    </w:p>
    <w:p>
      <w:pPr>
        <w:pStyle w:val="107"/>
        <w:spacing w:before="156" w:after="156"/>
      </w:pPr>
    </w:p>
    <w:p>
      <w:pPr>
        <w:pStyle w:val="107"/>
        <w:numPr>
          <w:ilvl w:val="0"/>
          <w:numId w:val="0"/>
        </w:numPr>
        <w:spacing w:before="156" w:after="156"/>
        <w:ind w:firstLine="420" w:firstLineChars="200"/>
      </w:pPr>
      <w:r>
        <w:t>市井供电</w:t>
      </w:r>
      <w:r>
        <w:rPr>
          <w:rFonts w:hint="eastAsia"/>
        </w:rPr>
        <w:t xml:space="preserve"> </w:t>
      </w:r>
      <w:r>
        <w:t xml:space="preserve"> </w:t>
      </w:r>
      <w:r>
        <w:rPr>
          <w:rFonts w:hint="eastAsia"/>
        </w:rPr>
        <w:t>m</w:t>
      </w:r>
      <w:r>
        <w:t>arket power supply</w:t>
      </w:r>
    </w:p>
    <w:p>
      <w:pPr>
        <w:pStyle w:val="58"/>
        <w:ind w:firstLine="420"/>
      </w:pPr>
      <w:r>
        <w:t>城市城镇供电额定电压，低压单相220伏，三相380伏。</w:t>
      </w:r>
    </w:p>
    <w:p>
      <w:pPr>
        <w:pStyle w:val="107"/>
        <w:spacing w:before="156" w:after="156"/>
      </w:pPr>
    </w:p>
    <w:p>
      <w:pPr>
        <w:pStyle w:val="107"/>
        <w:numPr>
          <w:ilvl w:val="0"/>
          <w:numId w:val="0"/>
        </w:numPr>
        <w:spacing w:before="156" w:after="156"/>
        <w:ind w:firstLine="420" w:firstLineChars="200"/>
      </w:pPr>
      <w:r>
        <w:t>太阳能供电</w:t>
      </w:r>
      <w:r>
        <w:rPr>
          <w:rFonts w:hint="eastAsia"/>
        </w:rPr>
        <w:t xml:space="preserve"> </w:t>
      </w:r>
      <w:r>
        <w:t xml:space="preserve"> </w:t>
      </w:r>
      <w:r>
        <w:rPr>
          <w:rFonts w:hint="eastAsia"/>
        </w:rPr>
        <w:t>s</w:t>
      </w:r>
      <w:r>
        <w:t>olar power supply</w:t>
      </w:r>
    </w:p>
    <w:p>
      <w:pPr>
        <w:pStyle w:val="58"/>
        <w:ind w:firstLine="420"/>
      </w:pPr>
      <w:r>
        <w:t>利用太阳</w:t>
      </w:r>
      <w:r>
        <w:rPr>
          <w:rFonts w:hint="eastAsia"/>
        </w:rPr>
        <w:t>能板</w:t>
      </w:r>
      <w:r>
        <w:t>将太阳光能直接转化为电能。</w:t>
      </w:r>
    </w:p>
    <w:p>
      <w:pPr>
        <w:pStyle w:val="107"/>
        <w:spacing w:before="156" w:after="156"/>
      </w:pPr>
    </w:p>
    <w:p>
      <w:pPr>
        <w:pStyle w:val="107"/>
        <w:numPr>
          <w:ilvl w:val="0"/>
          <w:numId w:val="0"/>
        </w:numPr>
        <w:spacing w:before="156" w:after="156"/>
        <w:ind w:firstLine="420" w:firstLineChars="200"/>
      </w:pPr>
      <w:r>
        <w:t>运营商通讯塔</w:t>
      </w:r>
      <w:r>
        <w:rPr>
          <w:rFonts w:hint="eastAsia"/>
        </w:rPr>
        <w:t xml:space="preserve"> </w:t>
      </w:r>
      <w:r>
        <w:t xml:space="preserve"> </w:t>
      </w:r>
      <w:r>
        <w:rPr>
          <w:rFonts w:hint="eastAsia"/>
        </w:rPr>
        <w:t>o</w:t>
      </w:r>
      <w:r>
        <w:t>perator communication tower</w:t>
      </w:r>
    </w:p>
    <w:p>
      <w:pPr>
        <w:pStyle w:val="58"/>
        <w:ind w:firstLine="420"/>
      </w:pPr>
      <w:r>
        <w:t>由移动/联通/</w:t>
      </w:r>
      <w:r>
        <w:rPr>
          <w:rFonts w:hint="eastAsia"/>
        </w:rPr>
        <w:t>电信/中国铁塔等</w:t>
      </w:r>
      <w:r>
        <w:t>通讯部门建立的信号发射塔。</w:t>
      </w:r>
    </w:p>
    <w:p>
      <w:pPr>
        <w:pStyle w:val="107"/>
        <w:spacing w:before="156" w:after="156"/>
      </w:pPr>
    </w:p>
    <w:p>
      <w:pPr>
        <w:pStyle w:val="107"/>
        <w:numPr>
          <w:ilvl w:val="2"/>
          <w:numId w:val="0"/>
        </w:numPr>
        <w:spacing w:before="156" w:after="156"/>
        <w:ind w:firstLine="420" w:firstLineChars="200"/>
      </w:pPr>
      <w:r>
        <w:t>网桥</w:t>
      </w:r>
      <w:r>
        <w:rPr>
          <w:rFonts w:hint="eastAsia"/>
        </w:rPr>
        <w:t xml:space="preserve"> </w:t>
      </w:r>
      <w:r>
        <w:t xml:space="preserve"> bridge</w:t>
      </w:r>
    </w:p>
    <w:p>
      <w:pPr>
        <w:pStyle w:val="58"/>
        <w:ind w:firstLine="420"/>
      </w:pPr>
      <w:r>
        <w:t>根据物理地址过滤和转发数据包的连接设备。</w:t>
      </w:r>
    </w:p>
    <w:p>
      <w:pPr>
        <w:pStyle w:val="107"/>
        <w:spacing w:before="156" w:after="156"/>
      </w:pPr>
    </w:p>
    <w:p>
      <w:pPr>
        <w:pStyle w:val="107"/>
        <w:numPr>
          <w:ilvl w:val="0"/>
          <w:numId w:val="0"/>
        </w:numPr>
        <w:spacing w:before="156" w:after="156"/>
        <w:ind w:firstLine="420" w:firstLineChars="200"/>
      </w:pPr>
      <w:r>
        <w:t>物联网卡</w:t>
      </w:r>
      <w:r>
        <w:rPr>
          <w:rFonts w:hint="eastAsia"/>
        </w:rPr>
        <w:t xml:space="preserve"> </w:t>
      </w:r>
      <w:r>
        <w:t xml:space="preserve"> IOT network card</w:t>
      </w:r>
    </w:p>
    <w:p>
      <w:pPr>
        <w:pStyle w:val="58"/>
        <w:ind w:firstLine="420"/>
      </w:pPr>
      <w:r>
        <w:t>运营商面向物联网用户提供的移动通信接入业务，为物联网终端提供无线数据、语音、短信等基础通信服务。</w:t>
      </w:r>
    </w:p>
    <w:p>
      <w:pPr>
        <w:pStyle w:val="106"/>
        <w:spacing w:before="312" w:after="312"/>
      </w:pPr>
      <w:r>
        <w:rPr>
          <w:rFonts w:hint="eastAsia"/>
        </w:rPr>
        <w:t>选址原则</w:t>
      </w:r>
    </w:p>
    <w:p>
      <w:pPr>
        <w:pStyle w:val="107"/>
        <w:spacing w:before="156" w:after="156"/>
      </w:pPr>
      <w:r>
        <w:rPr>
          <w:rFonts w:hint="eastAsia"/>
        </w:rPr>
        <w:t>监测对象</w:t>
      </w:r>
    </w:p>
    <w:p>
      <w:pPr>
        <w:pStyle w:val="58"/>
        <w:ind w:firstLine="420"/>
      </w:pPr>
      <w:r>
        <w:rPr>
          <w:rFonts w:hint="eastAsia"/>
        </w:rPr>
        <w:t>生态效益、社会效益、经济效益较高的，易受林业有害生物危害的天然林及重点经济林。</w:t>
      </w:r>
    </w:p>
    <w:p>
      <w:pPr>
        <w:pStyle w:val="107"/>
        <w:spacing w:before="156" w:after="156"/>
      </w:pPr>
      <w:r>
        <w:rPr>
          <w:rFonts w:hint="eastAsia"/>
        </w:rPr>
        <w:t>监测区域选择</w:t>
      </w:r>
    </w:p>
    <w:p>
      <w:pPr>
        <w:pStyle w:val="58"/>
        <w:ind w:firstLine="420"/>
      </w:pPr>
      <w:r>
        <w:rPr>
          <w:rFonts w:hint="eastAsia"/>
        </w:rPr>
        <w:t>基站设置在林业有害生物多发的避风、阳坡和温度较高的林缘区域，林班面积需大于等于28</w:t>
      </w:r>
      <w:r>
        <w:t xml:space="preserve"> </w:t>
      </w:r>
      <w:r>
        <w:rPr>
          <w:rFonts w:hint="eastAsia"/>
        </w:rPr>
        <w:t>hm</w:t>
      </w:r>
      <w:r>
        <w:rPr>
          <w:rFonts w:hint="eastAsia"/>
          <w:vertAlign w:val="superscript"/>
        </w:rPr>
        <w:t xml:space="preserve">2 </w:t>
      </w:r>
      <w:r>
        <w:rPr>
          <w:rFonts w:hint="eastAsia"/>
        </w:rPr>
        <w:t>，如有特定监测需要林班面积不做要求，参照呼和浩特地区优势树种林业有害生物监测分类表（附录A）确定监测林分或主要林业有害生物种类，参照资源数据统计表（附录B）确定位置。</w:t>
      </w:r>
    </w:p>
    <w:p>
      <w:pPr>
        <w:pStyle w:val="107"/>
        <w:spacing w:before="156" w:after="156"/>
      </w:pPr>
      <w:r>
        <w:rPr>
          <w:rFonts w:hint="eastAsia"/>
        </w:rPr>
        <w:t>监测内容</w:t>
      </w:r>
    </w:p>
    <w:p>
      <w:pPr>
        <w:pStyle w:val="58"/>
        <w:ind w:firstLine="420"/>
      </w:pPr>
      <w:r>
        <w:rPr>
          <w:rFonts w:hint="eastAsia"/>
        </w:rPr>
        <w:t>按照LY/T 2517执行。</w:t>
      </w:r>
    </w:p>
    <w:p>
      <w:pPr>
        <w:pStyle w:val="106"/>
        <w:spacing w:before="312" w:after="312"/>
      </w:pPr>
      <w:r>
        <w:rPr>
          <w:rFonts w:hint="eastAsia"/>
        </w:rPr>
        <w:t>选址环境要求</w:t>
      </w:r>
    </w:p>
    <w:p>
      <w:pPr>
        <w:pStyle w:val="107"/>
        <w:spacing w:before="156" w:after="156"/>
      </w:pPr>
      <w:r>
        <w:rPr>
          <w:rFonts w:hint="eastAsia"/>
        </w:rPr>
        <w:t>位置</w:t>
      </w:r>
    </w:p>
    <w:p>
      <w:pPr>
        <w:pStyle w:val="58"/>
        <w:ind w:firstLine="420"/>
      </w:pPr>
      <w:r>
        <w:rPr>
          <w:rFonts w:hint="eastAsia"/>
        </w:rPr>
        <w:t>选择林缘四周地势开阔的位置，半径不小于15</w:t>
      </w:r>
      <w:r>
        <w:t xml:space="preserve"> </w:t>
      </w:r>
      <w:r>
        <w:rPr>
          <w:rFonts w:hint="eastAsia"/>
        </w:rPr>
        <w:t>m内无遮挡。</w:t>
      </w:r>
    </w:p>
    <w:p>
      <w:pPr>
        <w:pStyle w:val="107"/>
        <w:spacing w:before="156" w:after="156"/>
      </w:pPr>
      <w:r>
        <w:rPr>
          <w:rFonts w:hint="eastAsia"/>
        </w:rPr>
        <w:t>交通</w:t>
      </w:r>
    </w:p>
    <w:p>
      <w:pPr>
        <w:pStyle w:val="58"/>
        <w:ind w:firstLine="420"/>
      </w:pPr>
      <w:r>
        <w:rPr>
          <w:rFonts w:hint="eastAsia"/>
        </w:rPr>
        <w:t>区域距离道路不超过2</w:t>
      </w:r>
      <w:r>
        <w:t xml:space="preserve"> </w:t>
      </w:r>
      <w:r>
        <w:rPr>
          <w:rFonts w:hint="eastAsia"/>
        </w:rPr>
        <w:t>km。</w:t>
      </w:r>
    </w:p>
    <w:p>
      <w:pPr>
        <w:pStyle w:val="107"/>
        <w:spacing w:before="156" w:after="156"/>
        <w:rPr>
          <w:lang w:eastAsia="zh-Hans"/>
        </w:rPr>
      </w:pPr>
      <w:r>
        <w:rPr>
          <w:rFonts w:hint="eastAsia"/>
        </w:rPr>
        <w:t>电力</w:t>
      </w:r>
    </w:p>
    <w:p>
      <w:pPr>
        <w:pStyle w:val="107"/>
        <w:numPr>
          <w:ilvl w:val="2"/>
          <w:numId w:val="0"/>
        </w:numPr>
        <w:spacing w:before="156" w:after="156"/>
        <w:rPr>
          <w:rFonts w:ascii="宋体" w:eastAsia="宋体"/>
          <w:lang w:eastAsia="zh-Hans"/>
        </w:rPr>
      </w:pPr>
      <w:r>
        <w:rPr>
          <w:rStyle w:val="34"/>
          <w:rFonts w:hint="eastAsia" w:ascii="Calibri" w:hAnsi="Calibri"/>
          <w:kern w:val="2"/>
        </w:rPr>
        <w:t xml:space="preserve">    </w:t>
      </w:r>
      <w:r>
        <w:rPr>
          <w:rFonts w:hint="eastAsia" w:ascii="宋体" w:eastAsia="宋体"/>
        </w:rPr>
        <w:t>采用市井供电直线距离小于等于500</w:t>
      </w:r>
      <w:r>
        <w:rPr>
          <w:rFonts w:ascii="宋体" w:eastAsia="宋体"/>
        </w:rPr>
        <w:t xml:space="preserve"> </w:t>
      </w:r>
      <w:r>
        <w:rPr>
          <w:rFonts w:hint="eastAsia" w:ascii="宋体" w:eastAsia="宋体"/>
        </w:rPr>
        <w:t>m，采取挖沟埋线的方式供电，也可根据实际成本选择太阳能供电。无市井供电或距离市井供电大于500</w:t>
      </w:r>
      <w:r>
        <w:rPr>
          <w:rFonts w:ascii="宋体" w:eastAsia="宋体"/>
        </w:rPr>
        <w:t xml:space="preserve"> </w:t>
      </w:r>
      <w:r>
        <w:rPr>
          <w:rFonts w:hint="eastAsia" w:ascii="宋体" w:eastAsia="宋体"/>
        </w:rPr>
        <w:t>m的采取太阳能供电。</w:t>
      </w:r>
    </w:p>
    <w:p>
      <w:pPr>
        <w:pStyle w:val="107"/>
        <w:spacing w:before="156" w:after="156"/>
      </w:pPr>
      <w:r>
        <w:rPr>
          <w:rFonts w:hint="eastAsia"/>
        </w:rPr>
        <w:t>通信</w:t>
      </w:r>
    </w:p>
    <w:p>
      <w:pPr>
        <w:pStyle w:val="58"/>
        <w:ind w:firstLine="420"/>
      </w:pPr>
      <w:r>
        <w:rPr>
          <w:rFonts w:hint="eastAsia"/>
          <w:lang w:eastAsia="zh-Hans"/>
        </w:rPr>
        <w:t>优先选择</w:t>
      </w:r>
      <w:r>
        <w:rPr>
          <w:rFonts w:hint="eastAsia"/>
        </w:rPr>
        <w:t>4G及以上物联网卡，监测基站有实时视频传输，网速满足大于等于1</w:t>
      </w:r>
      <w:r>
        <w:t xml:space="preserve"> </w:t>
      </w:r>
      <w:r>
        <w:rPr>
          <w:rFonts w:hint="eastAsia"/>
        </w:rPr>
        <w:t>Mbps/S，监测基站无实时视频传输，则网速速率满足大于等于0.1</w:t>
      </w:r>
      <w:r>
        <w:t xml:space="preserve"> </w:t>
      </w:r>
      <w:r>
        <w:rPr>
          <w:rFonts w:hint="eastAsia"/>
        </w:rPr>
        <w:t>Mbps。</w:t>
      </w:r>
    </w:p>
    <w:p>
      <w:pPr>
        <w:ind w:firstLine="420" w:firstLineChars="200"/>
      </w:pPr>
      <w:r>
        <w:rPr>
          <w:rFonts w:hint="eastAsia"/>
        </w:rPr>
        <w:t>无运营商信号的区域，通过无线网桥的方式，距离运营商通信塔直线距离小</w:t>
      </w:r>
      <w:r>
        <w:rPr>
          <w:rFonts w:hint="eastAsia" w:ascii="宋体" w:hAnsi="宋体"/>
        </w:rPr>
        <w:t>于20</w:t>
      </w:r>
      <w:r>
        <w:rPr>
          <w:rFonts w:ascii="宋体" w:hAnsi="宋体"/>
        </w:rPr>
        <w:t xml:space="preserve"> </w:t>
      </w:r>
      <w:r>
        <w:rPr>
          <w:rFonts w:hint="eastAsia" w:ascii="宋体" w:hAnsi="宋体"/>
        </w:rPr>
        <w:t>km</w:t>
      </w:r>
      <w:r>
        <w:rPr>
          <w:rFonts w:hint="eastAsia"/>
        </w:rPr>
        <w:t>，链路不超过2次跳转。</w:t>
      </w:r>
    </w:p>
    <w:p>
      <w:pPr>
        <w:pStyle w:val="107"/>
        <w:spacing w:before="156" w:after="156"/>
      </w:pPr>
      <w:r>
        <w:rPr>
          <w:rFonts w:hint="eastAsia"/>
          <w:lang w:eastAsia="zh-Hans"/>
        </w:rPr>
        <w:t>地质</w:t>
      </w:r>
      <w:r>
        <w:rPr>
          <w:rFonts w:hint="eastAsia"/>
        </w:rPr>
        <w:t>、坡度</w:t>
      </w:r>
    </w:p>
    <w:p>
      <w:pPr>
        <w:pStyle w:val="58"/>
        <w:ind w:firstLine="420"/>
      </w:pPr>
      <w:r>
        <w:rPr>
          <w:rFonts w:hint="eastAsia"/>
        </w:rPr>
        <w:t>土层厚度大于等于20</w:t>
      </w:r>
      <w:r>
        <w:t xml:space="preserve"> </w:t>
      </w:r>
      <w:r>
        <w:rPr>
          <w:rFonts w:hint="eastAsia"/>
        </w:rPr>
        <w:t>cm，坡度小于等于10°。</w:t>
      </w:r>
    </w:p>
    <w:p>
      <w:pPr>
        <w:pStyle w:val="107"/>
        <w:spacing w:before="156" w:after="156"/>
      </w:pPr>
      <w:r>
        <w:rPr>
          <w:rFonts w:hint="eastAsia"/>
        </w:rPr>
        <w:t>面积</w:t>
      </w:r>
    </w:p>
    <w:p>
      <w:pPr>
        <w:pStyle w:val="58"/>
        <w:ind w:firstLine="420"/>
      </w:pPr>
      <w:r>
        <w:rPr>
          <w:rFonts w:hint="eastAsia"/>
        </w:rPr>
        <w:t>市井供电基站建设面积大于等于48</w:t>
      </w:r>
      <w:r>
        <w:t xml:space="preserve"> </w:t>
      </w:r>
      <w:r>
        <w:rPr>
          <w:rFonts w:hint="eastAsia"/>
        </w:rPr>
        <w:t>㎡，太阳能供电基站建设面积大于等于64</w:t>
      </w:r>
      <w:r>
        <w:t xml:space="preserve"> </w:t>
      </w:r>
      <w:r>
        <w:rPr>
          <w:rFonts w:hint="eastAsia"/>
        </w:rPr>
        <w:t>㎡。</w:t>
      </w:r>
    </w:p>
    <w:p>
      <w:pPr>
        <w:pStyle w:val="107"/>
        <w:numPr>
          <w:ilvl w:val="255"/>
          <w:numId w:val="0"/>
        </w:numPr>
        <w:spacing w:before="156" w:after="156"/>
      </w:pPr>
      <w:r>
        <w:rPr>
          <w:rFonts w:hint="eastAsia"/>
        </w:rPr>
        <w:t>5.7 基站间距</w:t>
      </w:r>
    </w:p>
    <w:p>
      <w:pPr>
        <w:pStyle w:val="58"/>
        <w:ind w:firstLine="420"/>
      </w:pPr>
      <w:r>
        <w:rPr>
          <w:rFonts w:hint="eastAsia"/>
        </w:rPr>
        <w:t>同一林分监测基站之间直线距离间隔大于600</w:t>
      </w:r>
      <w:r>
        <w:t xml:space="preserve"> </w:t>
      </w:r>
      <w:r>
        <w:rPr>
          <w:rFonts w:hint="eastAsia"/>
        </w:rPr>
        <w:t>m，不同林分监测基站间距不做要求。</w:t>
      </w:r>
    </w:p>
    <w:p>
      <w:pPr>
        <w:pStyle w:val="106"/>
        <w:spacing w:before="312" w:after="312"/>
      </w:pPr>
      <w:r>
        <w:rPr>
          <w:rFonts w:hint="eastAsia"/>
        </w:rPr>
        <w:t>建设要求</w:t>
      </w:r>
    </w:p>
    <w:p>
      <w:pPr>
        <w:pStyle w:val="107"/>
        <w:spacing w:before="156" w:after="156"/>
        <w:rPr>
          <w:lang w:eastAsia="zh-Hans"/>
        </w:rPr>
      </w:pPr>
      <w:r>
        <w:rPr>
          <w:rFonts w:hint="eastAsia"/>
          <w:lang w:eastAsia="zh-Hans"/>
        </w:rPr>
        <w:t>防雷</w:t>
      </w:r>
    </w:p>
    <w:p>
      <w:pPr>
        <w:pStyle w:val="58"/>
        <w:ind w:firstLine="420"/>
        <w:rPr>
          <w:lang w:eastAsia="zh-Hans"/>
        </w:rPr>
      </w:pPr>
      <w:r>
        <w:rPr>
          <w:rFonts w:hint="eastAsia"/>
        </w:rPr>
        <w:t>按照GB</w:t>
      </w:r>
      <w:r>
        <w:t xml:space="preserve"> </w:t>
      </w:r>
      <w:r>
        <w:rPr>
          <w:rFonts w:hint="eastAsia"/>
        </w:rPr>
        <w:t>50057执行。</w:t>
      </w:r>
    </w:p>
    <w:p>
      <w:pPr>
        <w:pStyle w:val="107"/>
        <w:spacing w:before="156" w:after="156"/>
      </w:pPr>
      <w:r>
        <w:rPr>
          <w:rFonts w:hint="eastAsia"/>
        </w:rPr>
        <w:t>辅助设施</w:t>
      </w:r>
    </w:p>
    <w:p>
      <w:pPr>
        <w:pStyle w:val="67"/>
        <w:spacing w:before="156" w:after="156"/>
      </w:pPr>
      <w:r>
        <w:rPr>
          <w:rFonts w:hint="eastAsia"/>
        </w:rPr>
        <w:t>围栏</w:t>
      </w:r>
    </w:p>
    <w:p>
      <w:pPr>
        <w:pStyle w:val="58"/>
        <w:ind w:firstLine="420"/>
      </w:pPr>
      <w:r>
        <w:rPr>
          <w:rFonts w:hint="eastAsia"/>
        </w:rPr>
        <w:t>围栏高度不低于1</w:t>
      </w:r>
      <w:r>
        <w:t xml:space="preserve"> </w:t>
      </w:r>
      <w:r>
        <w:rPr>
          <w:rFonts w:hint="eastAsia"/>
        </w:rPr>
        <w:t>m，每1</w:t>
      </w:r>
      <w:r>
        <w:t xml:space="preserve"> </w:t>
      </w:r>
      <w:r>
        <w:rPr>
          <w:rFonts w:hint="eastAsia"/>
        </w:rPr>
        <w:t>m设置立杆，表面进行防腐防锈处理。</w:t>
      </w:r>
    </w:p>
    <w:p>
      <w:pPr>
        <w:pStyle w:val="67"/>
        <w:spacing w:before="156" w:after="156"/>
        <w:rPr>
          <w:lang w:eastAsia="zh-Hans"/>
        </w:rPr>
      </w:pPr>
      <w:r>
        <w:rPr>
          <w:rFonts w:hint="eastAsia"/>
          <w:lang w:eastAsia="zh-Hans"/>
        </w:rPr>
        <w:t>围栏门</w:t>
      </w:r>
    </w:p>
    <w:p>
      <w:pPr>
        <w:pStyle w:val="58"/>
        <w:ind w:firstLine="420"/>
        <w:rPr>
          <w:lang w:eastAsia="zh-Hans"/>
        </w:rPr>
      </w:pPr>
      <w:r>
        <w:rPr>
          <w:rFonts w:hint="eastAsia"/>
          <w:lang w:eastAsia="zh-Hans"/>
        </w:rPr>
        <w:t>围栏门不宜直对主路或门前有遮挡物。</w:t>
      </w:r>
    </w:p>
    <w:p>
      <w:pPr>
        <w:pStyle w:val="67"/>
        <w:spacing w:before="156" w:after="156"/>
        <w:rPr>
          <w:lang w:eastAsia="zh-Hans"/>
        </w:rPr>
      </w:pPr>
      <w:r>
        <w:rPr>
          <w:rFonts w:hint="eastAsia"/>
          <w:lang w:eastAsia="zh-Hans"/>
        </w:rPr>
        <w:t>宣传展示牌</w:t>
      </w:r>
    </w:p>
    <w:p>
      <w:pPr>
        <w:pStyle w:val="58"/>
        <w:ind w:firstLine="420"/>
        <w:rPr>
          <w:lang w:eastAsia="zh-Hans"/>
        </w:rPr>
      </w:pPr>
      <w:r>
        <w:rPr>
          <w:rFonts w:hint="eastAsia"/>
          <w:lang w:eastAsia="zh-Hans"/>
        </w:rPr>
        <w:t>宣传展示牌高度不宜高于设备和围栏。</w:t>
      </w:r>
    </w:p>
    <w:p>
      <w:pPr>
        <w:pStyle w:val="67"/>
        <w:spacing w:before="156" w:after="156"/>
      </w:pPr>
      <w:r>
        <w:rPr>
          <w:rFonts w:hint="eastAsia"/>
          <w:lang w:eastAsia="zh-Hans"/>
        </w:rPr>
        <w:t>基础</w:t>
      </w:r>
    </w:p>
    <w:p>
      <w:pPr>
        <w:pStyle w:val="58"/>
        <w:ind w:firstLine="420"/>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type="lines" w:linePitch="312" w:charSpace="0"/>
        </w:sectPr>
      </w:pPr>
      <w:r>
        <w:rPr>
          <w:rFonts w:hint="eastAsia"/>
          <w:lang w:eastAsia="zh-Hans"/>
        </w:rPr>
        <w:t>应采用混凝土浇筑，凝土结构工程施工过程中，应及时进行自检、互检和交接检，质量</w:t>
      </w:r>
      <w:r>
        <w:rPr>
          <w:rFonts w:hint="eastAsia"/>
        </w:rPr>
        <w:t>不应低于</w:t>
      </w:r>
      <w:r>
        <w:rPr>
          <w:rFonts w:hint="eastAsia"/>
          <w:lang w:eastAsia="zh-Hans"/>
        </w:rPr>
        <w:t>GB</w:t>
      </w:r>
      <w:r>
        <w:rPr>
          <w:lang w:eastAsia="zh-Hans"/>
        </w:rPr>
        <w:t xml:space="preserve"> </w:t>
      </w:r>
      <w:r>
        <w:rPr>
          <w:rFonts w:hint="eastAsia"/>
          <w:lang w:eastAsia="zh-Hans"/>
        </w:rPr>
        <w:t>50204</w:t>
      </w:r>
      <w:r>
        <w:rPr>
          <w:rFonts w:hint="eastAsia"/>
        </w:rPr>
        <w:t>的有关规定。</w:t>
      </w:r>
    </w:p>
    <w:bookmarkEnd w:id="19"/>
    <w:p>
      <w:pPr>
        <w:pStyle w:val="200"/>
        <w:rPr>
          <w:vanish w:val="0"/>
        </w:rPr>
      </w:pPr>
      <w:bookmarkStart w:id="41" w:name="BookMark5"/>
    </w:p>
    <w:p>
      <w:pPr>
        <w:pStyle w:val="201"/>
        <w:rPr>
          <w:vanish w:val="0"/>
        </w:rPr>
      </w:pPr>
    </w:p>
    <w:p>
      <w:pPr>
        <w:pStyle w:val="78"/>
        <w:spacing w:after="156"/>
      </w:pPr>
      <w:r>
        <w:br w:type="textWrapping"/>
      </w:r>
      <w:r>
        <w:rPr>
          <w:rFonts w:hint="eastAsia"/>
        </w:rPr>
        <w:t>（资料性）</w:t>
      </w:r>
      <w:r>
        <w:br w:type="textWrapping"/>
      </w:r>
      <w:r>
        <w:rPr>
          <w:rFonts w:hint="eastAsia"/>
        </w:rPr>
        <w:t>优势树种林业有害生物监测分类</w:t>
      </w:r>
    </w:p>
    <w:p>
      <w:pPr>
        <w:pStyle w:val="79"/>
        <w:spacing w:before="156" w:after="156"/>
      </w:pPr>
      <w:r>
        <w:rPr>
          <w:rFonts w:hint="eastAsia"/>
        </w:rPr>
        <w:t>优势树种林业有害生物监测分类表</w:t>
      </w:r>
    </w:p>
    <w:tbl>
      <w:tblPr>
        <w:tblStyle w:val="27"/>
        <w:tblW w:w="9923" w:type="dxa"/>
        <w:tblInd w:w="-29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51"/>
        <w:gridCol w:w="993"/>
        <w:gridCol w:w="992"/>
        <w:gridCol w:w="1984"/>
        <w:gridCol w:w="510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851" w:type="dxa"/>
            <w:tcBorders>
              <w:top w:val="single" w:color="auto" w:sz="8"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bookmarkStart w:id="42" w:name="_Hlk105062371"/>
            <w:r>
              <w:rPr>
                <w:rFonts w:hint="eastAsia" w:ascii="宋体" w:hAnsi="宋体" w:cs="宋体"/>
                <w:color w:val="000000"/>
                <w:kern w:val="0"/>
                <w:szCs w:val="20"/>
              </w:rPr>
              <w:t>序号</w:t>
            </w:r>
          </w:p>
        </w:tc>
        <w:tc>
          <w:tcPr>
            <w:tcW w:w="3969" w:type="dxa"/>
            <w:gridSpan w:val="3"/>
            <w:tcBorders>
              <w:top w:val="single" w:color="auto" w:sz="8"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优势树种</w:t>
            </w:r>
          </w:p>
        </w:tc>
        <w:tc>
          <w:tcPr>
            <w:tcW w:w="5103" w:type="dxa"/>
            <w:tcBorders>
              <w:top w:val="single" w:color="auto" w:sz="8"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主要监测林业有害生物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51" w:type="dxa"/>
            <w:vMerge w:val="restart"/>
            <w:tcBorders>
              <w:top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1</w:t>
            </w:r>
          </w:p>
        </w:tc>
        <w:tc>
          <w:tcPr>
            <w:tcW w:w="993" w:type="dxa"/>
            <w:vMerge w:val="restart"/>
            <w:tcBorders>
              <w:top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乔木</w:t>
            </w:r>
          </w:p>
        </w:tc>
        <w:tc>
          <w:tcPr>
            <w:tcW w:w="992" w:type="dxa"/>
            <w:vMerge w:val="restart"/>
            <w:tcBorders>
              <w:top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针叶树</w:t>
            </w:r>
          </w:p>
        </w:tc>
        <w:tc>
          <w:tcPr>
            <w:tcW w:w="1984" w:type="dxa"/>
            <w:vMerge w:val="restart"/>
            <w:tcBorders>
              <w:top w:val="single" w:color="auto" w:sz="8" w:space="0"/>
            </w:tcBorders>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云杉、油松、樟子松、落叶松、杜松、侧柏、桧柏等</w:t>
            </w:r>
          </w:p>
        </w:tc>
        <w:tc>
          <w:tcPr>
            <w:tcW w:w="5103" w:type="dxa"/>
            <w:tcBorders>
              <w:top w:val="single" w:color="auto" w:sz="8" w:space="0"/>
            </w:tcBorders>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松墨天牛，小蠹，红脂大小蠹，双条杉天牛，落叶松尺蛾，落叶松叶蜂，落叶松鞘蛾，松毛虫、靖远松叶蜂、云杉扁叶蜂，松针小卷蛾，松梢螟，球果螟，蚜虫，红蜘蛛，松突圆蚧，松阿扁叶蜂等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851"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vMerge w:val="continue"/>
            <w:shd w:val="clear" w:color="auto" w:fill="auto"/>
            <w:vAlign w:val="center"/>
          </w:tcPr>
          <w:p>
            <w:pPr>
              <w:widowControl/>
              <w:adjustRightInd/>
              <w:spacing w:line="240" w:lineRule="auto"/>
              <w:jc w:val="center"/>
              <w:rPr>
                <w:rFonts w:ascii="宋体" w:hAnsi="宋体" w:cs="宋体"/>
                <w:color w:val="000000"/>
                <w:kern w:val="0"/>
                <w:szCs w:val="20"/>
              </w:rPr>
            </w:pP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松针锈病，松落针病，松枯稍病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851" w:type="dxa"/>
            <w:vMerge w:val="continue"/>
            <w:shd w:val="clear" w:color="auto" w:fill="auto"/>
            <w:vAlign w:val="center"/>
          </w:tcPr>
          <w:p>
            <w:pPr>
              <w:widowControl/>
              <w:adjustRightInd/>
              <w:spacing w:line="240" w:lineRule="auto"/>
              <w:jc w:val="left"/>
              <w:rPr>
                <w:rFonts w:ascii="Times New Roman" w:hAnsi="Times New Roman"/>
                <w:szCs w:val="20"/>
              </w:rPr>
            </w:pPr>
          </w:p>
        </w:tc>
        <w:tc>
          <w:tcPr>
            <w:tcW w:w="993" w:type="dxa"/>
            <w:vMerge w:val="continue"/>
            <w:shd w:val="clear" w:color="auto" w:fill="auto"/>
            <w:vAlign w:val="center"/>
          </w:tcPr>
          <w:p>
            <w:pPr>
              <w:widowControl/>
              <w:adjustRightInd/>
              <w:spacing w:line="240" w:lineRule="auto"/>
              <w:jc w:val="left"/>
              <w:rPr>
                <w:rFonts w:ascii="Times New Roman" w:hAnsi="Times New Roman"/>
                <w:szCs w:val="20"/>
              </w:rPr>
            </w:pPr>
          </w:p>
        </w:tc>
        <w:tc>
          <w:tcPr>
            <w:tcW w:w="992" w:type="dxa"/>
            <w:vMerge w:val="continue"/>
            <w:shd w:val="clear" w:color="auto" w:fill="auto"/>
            <w:vAlign w:val="center"/>
          </w:tcPr>
          <w:p>
            <w:pPr>
              <w:widowControl/>
              <w:adjustRightInd/>
              <w:spacing w:line="240" w:lineRule="auto"/>
              <w:jc w:val="left"/>
              <w:rPr>
                <w:rFonts w:ascii="Times New Roman" w:hAnsi="Times New Roman"/>
                <w:szCs w:val="20"/>
              </w:rPr>
            </w:pPr>
          </w:p>
        </w:tc>
        <w:tc>
          <w:tcPr>
            <w:tcW w:w="1984" w:type="dxa"/>
            <w:vMerge w:val="continue"/>
            <w:shd w:val="clear" w:color="auto" w:fill="auto"/>
            <w:vAlign w:val="center"/>
          </w:tcPr>
          <w:p>
            <w:pPr>
              <w:widowControl/>
              <w:adjustRightInd/>
              <w:spacing w:line="240" w:lineRule="auto"/>
              <w:jc w:val="center"/>
              <w:rPr>
                <w:rFonts w:ascii="Times New Roman" w:hAnsi="Times New Roman"/>
                <w:szCs w:val="20"/>
              </w:rPr>
            </w:pP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棕背平等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51" w:type="dxa"/>
            <w:vMerge w:val="restart"/>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2</w:t>
            </w: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restart"/>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阔叶树</w:t>
            </w:r>
          </w:p>
        </w:tc>
        <w:tc>
          <w:tcPr>
            <w:tcW w:w="1984" w:type="dxa"/>
            <w:vMerge w:val="restart"/>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杨属、柳属、榆属等</w:t>
            </w: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光肩星天牛，美国白蛾，青杨天牛，白杨透翅蛾，杨圆蚧，杨潜叶跳象，杨干象，黄褐天幕毛虫，舞毒蛾，黄斑波纹杂毛虫，杨二尾舟蛾，杨扇舟蛾，杨毒蛾，柳毒蛾，榆毒蛾，春尺蠖，榆绿莹毛叶甲等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851"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vMerge w:val="continue"/>
            <w:shd w:val="clear" w:color="auto" w:fill="auto"/>
            <w:vAlign w:val="center"/>
          </w:tcPr>
          <w:p>
            <w:pPr>
              <w:widowControl/>
              <w:adjustRightInd/>
              <w:spacing w:line="240" w:lineRule="auto"/>
              <w:jc w:val="center"/>
              <w:rPr>
                <w:rFonts w:ascii="宋体" w:hAnsi="宋体" w:cs="宋体"/>
                <w:color w:val="000000"/>
                <w:kern w:val="0"/>
                <w:szCs w:val="20"/>
              </w:rPr>
            </w:pP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烂皮病，大斑病，溃疡病等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7" w:hRule="atLeast"/>
        </w:trPr>
        <w:tc>
          <w:tcPr>
            <w:tcW w:w="851" w:type="dxa"/>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3</w:t>
            </w: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白桦、山杨等</w:t>
            </w: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远东龟铁甲，春尺蠖，白桦尺蠖，舞毒蛾，黄褐天幕毛虫等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851" w:type="dxa"/>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4</w:t>
            </w: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国槐、椴树、白蜡等</w:t>
            </w: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锈色粒肩天牛、国槐尺蠖，美国白蛾，槐蚜，舞毒蛾，红蜘蛛，木蠹蛾，吉丁虫等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51" w:type="dxa"/>
            <w:vMerge w:val="restart"/>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5</w:t>
            </w:r>
          </w:p>
        </w:tc>
        <w:tc>
          <w:tcPr>
            <w:tcW w:w="993"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992" w:type="dxa"/>
            <w:vMerge w:val="continue"/>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vMerge w:val="restart"/>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苹果、杏、海棠、桃树、沙果等</w:t>
            </w: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黄褐天幕毛虫，食心虫，蚜虫，黄刺蛾，杏球坚蚧，蚧壳虫，红蜘蛛，山楂粉蝶，苹毛丽金龟等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51" w:type="dxa"/>
            <w:vMerge w:val="continue"/>
            <w:shd w:val="clear" w:color="auto" w:fill="auto"/>
            <w:noWrap/>
            <w:vAlign w:val="center"/>
          </w:tcPr>
          <w:p>
            <w:pPr>
              <w:widowControl/>
              <w:adjustRightInd/>
              <w:spacing w:line="240" w:lineRule="auto"/>
              <w:jc w:val="left"/>
              <w:rPr>
                <w:rFonts w:ascii="Times New Roman" w:hAnsi="Times New Roman"/>
                <w:szCs w:val="20"/>
              </w:rPr>
            </w:pPr>
          </w:p>
        </w:tc>
        <w:tc>
          <w:tcPr>
            <w:tcW w:w="993" w:type="dxa"/>
            <w:vMerge w:val="continue"/>
            <w:shd w:val="clear" w:color="auto" w:fill="auto"/>
            <w:vAlign w:val="center"/>
          </w:tcPr>
          <w:p>
            <w:pPr>
              <w:widowControl/>
              <w:adjustRightInd/>
              <w:spacing w:line="240" w:lineRule="auto"/>
              <w:jc w:val="left"/>
              <w:rPr>
                <w:rFonts w:ascii="Times New Roman" w:hAnsi="Times New Roman"/>
                <w:szCs w:val="20"/>
              </w:rPr>
            </w:pPr>
          </w:p>
        </w:tc>
        <w:tc>
          <w:tcPr>
            <w:tcW w:w="992" w:type="dxa"/>
            <w:vMerge w:val="continue"/>
            <w:shd w:val="clear" w:color="auto" w:fill="auto"/>
            <w:vAlign w:val="center"/>
          </w:tcPr>
          <w:p>
            <w:pPr>
              <w:widowControl/>
              <w:adjustRightInd/>
              <w:spacing w:line="240" w:lineRule="auto"/>
              <w:jc w:val="left"/>
              <w:rPr>
                <w:rFonts w:ascii="Times New Roman" w:hAnsi="Times New Roman"/>
                <w:szCs w:val="20"/>
              </w:rPr>
            </w:pPr>
          </w:p>
        </w:tc>
        <w:tc>
          <w:tcPr>
            <w:tcW w:w="1984" w:type="dxa"/>
            <w:vMerge w:val="continue"/>
            <w:shd w:val="clear" w:color="auto" w:fill="auto"/>
            <w:vAlign w:val="center"/>
          </w:tcPr>
          <w:p>
            <w:pPr>
              <w:widowControl/>
              <w:adjustRightInd/>
              <w:spacing w:line="240" w:lineRule="auto"/>
              <w:jc w:val="center"/>
              <w:rPr>
                <w:rFonts w:ascii="Times New Roman" w:hAnsi="Times New Roman"/>
                <w:szCs w:val="20"/>
              </w:rPr>
            </w:pP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流胶病，腐烂病等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4" w:hRule="atLeast"/>
        </w:trPr>
        <w:tc>
          <w:tcPr>
            <w:tcW w:w="851" w:type="dxa"/>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6</w:t>
            </w:r>
          </w:p>
        </w:tc>
        <w:tc>
          <w:tcPr>
            <w:tcW w:w="1985" w:type="dxa"/>
            <w:gridSpan w:val="2"/>
            <w:vMerge w:val="restart"/>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灌木</w:t>
            </w:r>
          </w:p>
        </w:tc>
        <w:tc>
          <w:tcPr>
            <w:tcW w:w="1984" w:type="dxa"/>
            <w:vMerge w:val="restart"/>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山杏、山桃、绣线菊、柠条、沙棘、丁香，榆叶梅，虎榛子等</w:t>
            </w:r>
          </w:p>
        </w:tc>
        <w:tc>
          <w:tcPr>
            <w:tcW w:w="5103" w:type="dxa"/>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沙棘木蠹蛾，黄斑波纹杂毛虫，柠条豆象，柠条种子小蜂，山楂粉蝶，蚧壳虫，舞毒蛾，黄褐天幕毛虫，柠条长角象等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851" w:type="dxa"/>
            <w:tcBorders>
              <w:bottom w:val="single" w:color="auto" w:sz="4"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7</w:t>
            </w:r>
          </w:p>
        </w:tc>
        <w:tc>
          <w:tcPr>
            <w:tcW w:w="1985" w:type="dxa"/>
            <w:gridSpan w:val="2"/>
            <w:vMerge w:val="continue"/>
            <w:tcBorders>
              <w:bottom w:val="single" w:color="auto" w:sz="4" w:space="0"/>
            </w:tcBorders>
            <w:shd w:val="clear" w:color="auto" w:fill="auto"/>
            <w:noWrap/>
            <w:vAlign w:val="center"/>
          </w:tcPr>
          <w:p>
            <w:pPr>
              <w:widowControl/>
              <w:adjustRightInd/>
              <w:spacing w:line="240" w:lineRule="auto"/>
              <w:jc w:val="center"/>
              <w:rPr>
                <w:rFonts w:ascii="宋体" w:hAnsi="宋体" w:cs="宋体"/>
                <w:color w:val="000000"/>
                <w:kern w:val="0"/>
                <w:szCs w:val="20"/>
              </w:rPr>
            </w:pPr>
          </w:p>
        </w:tc>
        <w:tc>
          <w:tcPr>
            <w:tcW w:w="1984" w:type="dxa"/>
            <w:vMerge w:val="continue"/>
            <w:tcBorders>
              <w:bottom w:val="single" w:color="auto" w:sz="4" w:space="0"/>
            </w:tcBorders>
            <w:shd w:val="clear" w:color="auto" w:fill="auto"/>
            <w:vAlign w:val="center"/>
          </w:tcPr>
          <w:p>
            <w:pPr>
              <w:widowControl/>
              <w:adjustRightInd/>
              <w:spacing w:line="240" w:lineRule="auto"/>
              <w:jc w:val="center"/>
              <w:rPr>
                <w:rFonts w:ascii="宋体" w:hAnsi="宋体" w:cs="宋体"/>
                <w:color w:val="000000"/>
                <w:kern w:val="0"/>
                <w:szCs w:val="20"/>
              </w:rPr>
            </w:pPr>
          </w:p>
        </w:tc>
        <w:tc>
          <w:tcPr>
            <w:tcW w:w="5103" w:type="dxa"/>
            <w:tcBorders>
              <w:bottom w:val="single" w:color="auto" w:sz="4" w:space="0"/>
            </w:tcBorders>
            <w:shd w:val="clear" w:color="auto" w:fill="auto"/>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长爪沙鼠等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851" w:type="dxa"/>
            <w:tcBorders>
              <w:top w:val="single" w:color="auto" w:sz="4"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8</w:t>
            </w:r>
          </w:p>
        </w:tc>
        <w:tc>
          <w:tcPr>
            <w:tcW w:w="1985" w:type="dxa"/>
            <w:gridSpan w:val="2"/>
            <w:vMerge w:val="continue"/>
            <w:tcBorders>
              <w:top w:val="single" w:color="auto" w:sz="4" w:space="0"/>
              <w:bottom w:val="single" w:color="auto" w:sz="8" w:space="0"/>
            </w:tcBorders>
            <w:shd w:val="clear" w:color="auto" w:fill="auto"/>
            <w:vAlign w:val="center"/>
          </w:tcPr>
          <w:p>
            <w:pPr>
              <w:widowControl/>
              <w:adjustRightInd/>
              <w:spacing w:line="240" w:lineRule="auto"/>
              <w:jc w:val="left"/>
              <w:rPr>
                <w:rFonts w:ascii="宋体" w:hAnsi="宋体" w:cs="宋体"/>
                <w:color w:val="000000"/>
                <w:kern w:val="0"/>
                <w:szCs w:val="20"/>
              </w:rPr>
            </w:pPr>
          </w:p>
        </w:tc>
        <w:tc>
          <w:tcPr>
            <w:tcW w:w="1984" w:type="dxa"/>
            <w:tcBorders>
              <w:top w:val="single" w:color="auto" w:sz="4"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枸杞</w:t>
            </w:r>
          </w:p>
        </w:tc>
        <w:tc>
          <w:tcPr>
            <w:tcW w:w="5103" w:type="dxa"/>
            <w:tcBorders>
              <w:top w:val="single" w:color="auto" w:sz="4" w:space="0"/>
              <w:bottom w:val="single" w:color="auto" w:sz="8" w:space="0"/>
            </w:tcBorders>
            <w:shd w:val="clear" w:color="auto" w:fill="auto"/>
            <w:noWrap/>
            <w:vAlign w:val="center"/>
          </w:tcPr>
          <w:p>
            <w:pPr>
              <w:widowControl/>
              <w:adjustRightInd/>
              <w:spacing w:line="240" w:lineRule="auto"/>
              <w:jc w:val="center"/>
              <w:rPr>
                <w:rFonts w:ascii="宋体" w:hAnsi="宋体" w:cs="宋体"/>
                <w:color w:val="000000"/>
                <w:kern w:val="0"/>
                <w:szCs w:val="20"/>
              </w:rPr>
            </w:pPr>
            <w:r>
              <w:rPr>
                <w:rFonts w:hint="eastAsia" w:ascii="宋体" w:hAnsi="宋体" w:cs="宋体"/>
                <w:color w:val="000000"/>
                <w:kern w:val="0"/>
                <w:szCs w:val="20"/>
              </w:rPr>
              <w:t>枸杞蚜虫，枸杞瘿螨，枸杞红瘿蚊，枸杞木虱，枸杞负泥虫等</w:t>
            </w:r>
          </w:p>
        </w:tc>
      </w:tr>
      <w:bookmarkEnd w:id="42"/>
    </w:tbl>
    <w:p>
      <w:pPr>
        <w:pStyle w:val="58"/>
        <w:ind w:firstLine="420"/>
      </w:pPr>
    </w:p>
    <w:p>
      <w:pPr>
        <w:pStyle w:val="58"/>
        <w:ind w:firstLine="420"/>
      </w:pPr>
    </w:p>
    <w:p>
      <w:pPr>
        <w:pStyle w:val="58"/>
        <w:ind w:firstLine="420"/>
        <w:sectPr>
          <w:pgSz w:w="11906" w:h="16838"/>
          <w:pgMar w:top="1928" w:right="1134" w:bottom="1134" w:left="1134" w:header="1418" w:footer="1134" w:gutter="284"/>
          <w:cols w:space="425" w:num="1"/>
          <w:formProt w:val="0"/>
          <w:docGrid w:type="lines" w:linePitch="312" w:charSpace="0"/>
        </w:sectPr>
      </w:pPr>
    </w:p>
    <w:p>
      <w:pPr>
        <w:pStyle w:val="200"/>
        <w:rPr>
          <w:vanish w:val="0"/>
        </w:rPr>
      </w:pPr>
    </w:p>
    <w:p>
      <w:pPr>
        <w:pStyle w:val="201"/>
        <w:rPr>
          <w:vanish w:val="0"/>
        </w:rPr>
      </w:pPr>
    </w:p>
    <w:p>
      <w:pPr>
        <w:pStyle w:val="78"/>
        <w:spacing w:after="156"/>
      </w:pPr>
      <w:r>
        <w:br w:type="textWrapping"/>
      </w:r>
      <w:r>
        <w:rPr>
          <w:rFonts w:hint="eastAsia"/>
        </w:rPr>
        <w:t>（资料性）</w:t>
      </w:r>
      <w:r>
        <w:br w:type="textWrapping"/>
      </w:r>
      <w:r>
        <w:rPr>
          <w:rFonts w:hint="eastAsia"/>
        </w:rPr>
        <w:t>森林资源统计</w:t>
      </w:r>
    </w:p>
    <w:p>
      <w:pPr>
        <w:pStyle w:val="79"/>
        <w:spacing w:before="156" w:after="156"/>
      </w:pPr>
      <w:r>
        <w:rPr>
          <w:rFonts w:hint="eastAsia"/>
        </w:rPr>
        <w:t>森林资源统计表</w:t>
      </w:r>
    </w:p>
    <w:tbl>
      <w:tblPr>
        <w:tblStyle w:val="27"/>
        <w:tblW w:w="5226" w:type="pct"/>
        <w:tblInd w:w="-1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1424"/>
        <w:gridCol w:w="2543"/>
        <w:gridCol w:w="2669"/>
        <w:gridCol w:w="216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603" w:type="pct"/>
            <w:tcBorders>
              <w:top w:val="single" w:color="auto" w:sz="8" w:space="0"/>
              <w:bottom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序号</w:t>
            </w:r>
          </w:p>
        </w:tc>
        <w:tc>
          <w:tcPr>
            <w:tcW w:w="712" w:type="pct"/>
            <w:tcBorders>
              <w:top w:val="single" w:color="auto" w:sz="8" w:space="0"/>
              <w:bottom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旗县区</w:t>
            </w:r>
          </w:p>
        </w:tc>
        <w:tc>
          <w:tcPr>
            <w:tcW w:w="1271" w:type="pct"/>
            <w:tcBorders>
              <w:top w:val="single" w:color="auto" w:sz="8" w:space="0"/>
              <w:bottom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乡镇</w:t>
            </w:r>
          </w:p>
        </w:tc>
        <w:tc>
          <w:tcPr>
            <w:tcW w:w="1334" w:type="pct"/>
            <w:tcBorders>
              <w:top w:val="single" w:color="auto" w:sz="8" w:space="0"/>
              <w:bottom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优势树种</w:t>
            </w:r>
          </w:p>
        </w:tc>
        <w:tc>
          <w:tcPr>
            <w:tcW w:w="1080" w:type="pct"/>
            <w:tcBorders>
              <w:top w:val="single" w:color="auto" w:sz="8" w:space="0"/>
              <w:bottom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大于28公顷的林班数量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tcBorders>
              <w:top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c>
          <w:tcPr>
            <w:tcW w:w="3317" w:type="pct"/>
            <w:gridSpan w:val="3"/>
            <w:tcBorders>
              <w:top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呼和浩特</w:t>
            </w:r>
          </w:p>
        </w:tc>
        <w:tc>
          <w:tcPr>
            <w:tcW w:w="1080" w:type="pct"/>
            <w:tcBorders>
              <w:top w:val="single" w:color="auto" w:sz="8" w:space="0"/>
            </w:tcBorders>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1575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c>
          <w:tcPr>
            <w:tcW w:w="712"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土默特左旗</w:t>
            </w: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毕克齐镇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台阁牧镇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敕勒川镇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察素齐镇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北什轴乡</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沙尔沁镇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白庙子镇</w:t>
            </w:r>
          </w:p>
        </w:tc>
        <w:tc>
          <w:tcPr>
            <w:tcW w:w="133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柳属</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察素齐镇</w:t>
            </w:r>
          </w:p>
        </w:tc>
        <w:tc>
          <w:tcPr>
            <w:tcW w:w="133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榆属</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毕克齐镇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白桦</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察素齐镇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敕勒川镇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台阁牧镇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毕克齐镇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察素齐镇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敕勒川镇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台阁牧镇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察素齐镇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桃树</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敕勒川镇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沙尔沁镇</w:t>
            </w:r>
          </w:p>
        </w:tc>
        <w:tc>
          <w:tcPr>
            <w:tcW w:w="133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21</w:t>
            </w:r>
          </w:p>
        </w:tc>
        <w:tc>
          <w:tcPr>
            <w:tcW w:w="712"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赛罕区</w:t>
            </w: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22</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23</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樟子松</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24</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25</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金河镇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26</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27</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金河镇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28</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29</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白桦</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30</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31</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32</w:t>
            </w:r>
          </w:p>
        </w:tc>
        <w:tc>
          <w:tcPr>
            <w:tcW w:w="712" w:type="pct"/>
            <w:vMerge w:val="continue"/>
            <w:shd w:val="clear" w:color="auto" w:fill="auto"/>
            <w:vAlign w:val="center"/>
          </w:tcPr>
          <w:p>
            <w:pPr>
              <w:adjustRightInd/>
              <w:spacing w:line="240" w:lineRule="auto"/>
              <w:jc w:val="center"/>
              <w:rPr>
                <w:rFonts w:ascii="宋体" w:hAnsi="宋体" w:cs="宋体"/>
                <w:color w:val="000000"/>
                <w:szCs w:val="20"/>
              </w:rPr>
            </w:pPr>
          </w:p>
        </w:tc>
        <w:tc>
          <w:tcPr>
            <w:tcW w:w="127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3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山杏</w:t>
            </w:r>
          </w:p>
        </w:tc>
        <w:tc>
          <w:tcPr>
            <w:tcW w:w="108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bl>
    <w:p>
      <w:pPr>
        <w:jc w:val="center"/>
        <w:rPr>
          <w:rFonts w:ascii="黑体" w:hAnsi="黑体" w:eastAsia="黑体"/>
        </w:rP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64" w:type="pct"/>
        <w:tblInd w:w="-43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4"/>
        <w:gridCol w:w="1453"/>
        <w:gridCol w:w="2469"/>
        <w:gridCol w:w="2762"/>
        <w:gridCol w:w="203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33</w:t>
            </w:r>
          </w:p>
        </w:tc>
        <w:tc>
          <w:tcPr>
            <w:tcW w:w="735" w:type="pct"/>
            <w:vMerge w:val="restart"/>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黄合少镇</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34</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35</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榆林镇</w:t>
            </w:r>
          </w:p>
        </w:tc>
        <w:tc>
          <w:tcPr>
            <w:tcW w:w="1397"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沙棘</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36</w:t>
            </w:r>
          </w:p>
        </w:tc>
        <w:tc>
          <w:tcPr>
            <w:tcW w:w="73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新城区</w:t>
            </w: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云杉</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37</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38</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39</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40</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樟子松</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41</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42</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落叶松</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43</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44</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45</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46</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柳属</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47</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白桦</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48</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49</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城区</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国槐</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50</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51</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白蜡</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52</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保合少镇</w:t>
            </w:r>
          </w:p>
        </w:tc>
        <w:tc>
          <w:tcPr>
            <w:tcW w:w="1397"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苹果</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53</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成吉思汗街道办事处</w:t>
            </w:r>
          </w:p>
        </w:tc>
        <w:tc>
          <w:tcPr>
            <w:tcW w:w="1397"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54</w:t>
            </w:r>
          </w:p>
        </w:tc>
        <w:tc>
          <w:tcPr>
            <w:tcW w:w="73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清水河县</w:t>
            </w: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北堡乡</w:t>
            </w:r>
          </w:p>
        </w:tc>
        <w:tc>
          <w:tcPr>
            <w:tcW w:w="1397"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55</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56</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57</w:t>
            </w:r>
          </w:p>
        </w:tc>
        <w:tc>
          <w:tcPr>
            <w:tcW w:w="735"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97" w:type="pct"/>
            <w:vMerge w:val="continue"/>
            <w:shd w:val="clear" w:color="auto" w:fill="auto"/>
            <w:vAlign w:val="center"/>
          </w:tcPr>
          <w:p>
            <w:pPr>
              <w:adjustRightInd/>
              <w:spacing w:line="240" w:lineRule="auto"/>
              <w:jc w:val="center"/>
              <w:rPr>
                <w:rFonts w:ascii="宋体" w:hAnsi="宋体" w:cs="宋体"/>
                <w:color w:val="000000"/>
                <w:szCs w:val="20"/>
              </w:rPr>
            </w:pPr>
          </w:p>
        </w:tc>
        <w:tc>
          <w:tcPr>
            <w:tcW w:w="103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34</w:t>
            </w:r>
          </w:p>
        </w:tc>
      </w:tr>
    </w:tbl>
    <w:p>
      <w:pPr>
        <w:jc w:val="cente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85" w:type="pct"/>
        <w:tblInd w:w="-1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1425"/>
        <w:gridCol w:w="2543"/>
        <w:gridCol w:w="2670"/>
        <w:gridCol w:w="2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58</w:t>
            </w:r>
          </w:p>
        </w:tc>
        <w:tc>
          <w:tcPr>
            <w:tcW w:w="718" w:type="pct"/>
            <w:vMerge w:val="restart"/>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喇嘛湾镇</w:t>
            </w:r>
          </w:p>
        </w:tc>
        <w:tc>
          <w:tcPr>
            <w:tcW w:w="1345" w:type="pct"/>
            <w:vMerge w:val="restart"/>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老牛湾镇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4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樟子松</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落叶松</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喇嘛湾镇</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北堡乡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榆属</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苹果</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海棠</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老牛湾镇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窑沟乡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北堡乡</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山杏</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喇嘛湾镇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北堡乡</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喇嘛湾镇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老牛湾镇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窑沟乡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北堡乡</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沙棘</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宏河镇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韭菜庄乡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五良太乡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窑沟乡</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97</w:t>
            </w:r>
          </w:p>
        </w:tc>
        <w:tc>
          <w:tcPr>
            <w:tcW w:w="71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和林格尔县</w:t>
            </w: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4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云杉</w:t>
            </w:r>
          </w:p>
        </w:tc>
        <w:tc>
          <w:tcPr>
            <w:tcW w:w="104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bl>
    <w:p>
      <w:pPr>
        <w:jc w:val="cente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64" w:type="pct"/>
        <w:tblInd w:w="-43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1451"/>
        <w:gridCol w:w="2471"/>
        <w:gridCol w:w="2617"/>
        <w:gridCol w:w="21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98</w:t>
            </w:r>
          </w:p>
        </w:tc>
        <w:tc>
          <w:tcPr>
            <w:tcW w:w="734" w:type="pct"/>
            <w:vMerge w:val="restart"/>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99</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100</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101</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盛乐经济园区</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102</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103</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104</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樟子松</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105</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106</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107</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巧什营子乡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108</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109</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110</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111</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112</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落叶松</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113</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114</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115</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116</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117</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118</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巧什营子乡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119</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120</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盛乐经济园区</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121</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122</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123</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124</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白桦</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125</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山杨</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126</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127</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128</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129</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130</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131</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132</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133</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桃树</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9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134</w:t>
            </w:r>
          </w:p>
        </w:tc>
        <w:tc>
          <w:tcPr>
            <w:tcW w:w="734" w:type="pct"/>
            <w:vMerge w:val="continue"/>
            <w:shd w:val="clear" w:color="auto" w:fill="auto"/>
            <w:vAlign w:val="center"/>
          </w:tcPr>
          <w:p>
            <w:pPr>
              <w:adjustRightInd/>
              <w:spacing w:line="240" w:lineRule="auto"/>
              <w:jc w:val="center"/>
              <w:rPr>
                <w:rFonts w:ascii="宋体" w:hAnsi="宋体" w:cs="宋体"/>
                <w:color w:val="000000"/>
                <w:szCs w:val="20"/>
              </w:rPr>
            </w:pPr>
          </w:p>
        </w:tc>
        <w:tc>
          <w:tcPr>
            <w:tcW w:w="1250"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32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山杏</w:t>
            </w:r>
          </w:p>
        </w:tc>
        <w:tc>
          <w:tcPr>
            <w:tcW w:w="1102"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bl>
    <w:p>
      <w:pPr>
        <w:jc w:val="cente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85" w:type="pct"/>
        <w:tblInd w:w="-1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7"/>
        <w:gridCol w:w="1425"/>
        <w:gridCol w:w="2543"/>
        <w:gridCol w:w="2570"/>
        <w:gridCol w:w="21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135</w:t>
            </w:r>
          </w:p>
        </w:tc>
        <w:tc>
          <w:tcPr>
            <w:tcW w:w="718" w:type="pct"/>
            <w:vMerge w:val="restart"/>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295" w:type="pct"/>
            <w:vMerge w:val="restart"/>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城关镇</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巧什营子乡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7</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盛乐经济园区</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盛乐镇</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大红城乡</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沙棘</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黑老夭乡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舍必崖乡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盛乐经济园区</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新店子镇</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羊群沟乡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153</w:t>
            </w:r>
          </w:p>
        </w:tc>
        <w:tc>
          <w:tcPr>
            <w:tcW w:w="718"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武川县</w:t>
            </w: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可可以力更镇</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云杉</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油松</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可可以力更镇</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159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可可以力更镇</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樟子松</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161</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162</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163</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落叶松</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164</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165</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29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榆属</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29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170</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295"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白桦</w:t>
            </w:r>
          </w:p>
        </w:tc>
        <w:tc>
          <w:tcPr>
            <w:tcW w:w="109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bl>
    <w:p>
      <w:pPr>
        <w:jc w:val="cente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64" w:type="pct"/>
        <w:tblInd w:w="-436"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1455"/>
        <w:gridCol w:w="2469"/>
        <w:gridCol w:w="2617"/>
        <w:gridCol w:w="218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171</w:t>
            </w:r>
          </w:p>
        </w:tc>
        <w:tc>
          <w:tcPr>
            <w:tcW w:w="736" w:type="pct"/>
            <w:vMerge w:val="restart"/>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哈拉哈少乡</w:t>
            </w:r>
          </w:p>
        </w:tc>
        <w:tc>
          <w:tcPr>
            <w:tcW w:w="1324" w:type="pct"/>
            <w:vMerge w:val="restart"/>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172</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173</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174</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175</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哈拉哈少乡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176</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177</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178</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桃树</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179</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180</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山杏</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181</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哈拉哈少乡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182</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183</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大青山乡</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184</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185</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二份子乡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66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186</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187</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可可以力更镇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188</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189</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西乌兰不浪乡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190</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可可以力更镇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沙棘</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191</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上秃亥乡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192</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德胜沟乡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193</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哈拉哈少乡</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194</w:t>
            </w:r>
          </w:p>
        </w:tc>
        <w:tc>
          <w:tcPr>
            <w:tcW w:w="736"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回民区</w:t>
            </w: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攸攸板镇</w:t>
            </w:r>
          </w:p>
        </w:tc>
        <w:tc>
          <w:tcPr>
            <w:tcW w:w="1324"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195</w:t>
            </w:r>
          </w:p>
        </w:tc>
        <w:tc>
          <w:tcPr>
            <w:tcW w:w="736"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玉泉区</w:t>
            </w: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小黑河镇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柳属</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196</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昭君路办事处</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197</w:t>
            </w:r>
          </w:p>
        </w:tc>
        <w:tc>
          <w:tcPr>
            <w:tcW w:w="736"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托克托县</w:t>
            </w: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双河镇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杨属</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198</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新营子镇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25</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199</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伍什家镇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200</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河口管委会</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14</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201</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双河镇</w:t>
            </w:r>
          </w:p>
        </w:tc>
        <w:tc>
          <w:tcPr>
            <w:tcW w:w="1324"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杏</w:t>
            </w: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202</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新营子镇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203</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伍什家镇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58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204</w:t>
            </w:r>
          </w:p>
        </w:tc>
        <w:tc>
          <w:tcPr>
            <w:tcW w:w="736" w:type="pct"/>
            <w:vMerge w:val="continue"/>
            <w:shd w:val="clear" w:color="auto" w:fill="auto"/>
            <w:vAlign w:val="center"/>
          </w:tcPr>
          <w:p>
            <w:pPr>
              <w:adjustRightInd/>
              <w:spacing w:line="240" w:lineRule="auto"/>
              <w:jc w:val="center"/>
              <w:rPr>
                <w:rFonts w:ascii="宋体" w:hAnsi="宋体" w:cs="宋体"/>
                <w:color w:val="000000"/>
                <w:szCs w:val="20"/>
              </w:rPr>
            </w:pPr>
          </w:p>
        </w:tc>
        <w:tc>
          <w:tcPr>
            <w:tcW w:w="12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古城镇</w:t>
            </w:r>
          </w:p>
        </w:tc>
        <w:tc>
          <w:tcPr>
            <w:tcW w:w="1324" w:type="pct"/>
            <w:vMerge w:val="continue"/>
            <w:shd w:val="clear" w:color="auto" w:fill="auto"/>
            <w:vAlign w:val="center"/>
          </w:tcPr>
          <w:p>
            <w:pPr>
              <w:adjustRightInd/>
              <w:spacing w:line="240" w:lineRule="auto"/>
              <w:jc w:val="center"/>
              <w:rPr>
                <w:rFonts w:ascii="宋体" w:hAnsi="宋体" w:cs="宋体"/>
                <w:color w:val="000000"/>
                <w:szCs w:val="20"/>
              </w:rPr>
            </w:pPr>
          </w:p>
        </w:tc>
        <w:tc>
          <w:tcPr>
            <w:tcW w:w="1103"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5</w:t>
            </w:r>
          </w:p>
        </w:tc>
      </w:tr>
    </w:tbl>
    <w:p>
      <w:pPr>
        <w:jc w:val="center"/>
      </w:pPr>
      <w:r>
        <w:br w:type="page"/>
      </w:r>
      <w:r>
        <w:rPr>
          <w:rFonts w:hint="eastAsia" w:ascii="黑体" w:hAnsi="黑体" w:eastAsia="黑体"/>
        </w:rPr>
        <w:t>表B</w:t>
      </w:r>
      <w:r>
        <w:rPr>
          <w:rFonts w:ascii="黑体" w:hAnsi="黑体" w:eastAsia="黑体"/>
        </w:rPr>
        <w:t xml:space="preserve">.1 </w:t>
      </w:r>
      <w:r>
        <w:rPr>
          <w:rFonts w:hint="eastAsia" w:ascii="黑体" w:hAnsi="黑体" w:eastAsia="黑体"/>
        </w:rPr>
        <w:t>森林资源统计表</w:t>
      </w:r>
      <w:r>
        <w:rPr>
          <w:rFonts w:hint="eastAsia" w:ascii="宋体" w:hAnsi="宋体"/>
        </w:rPr>
        <w:t>（续）</w:t>
      </w:r>
    </w:p>
    <w:tbl>
      <w:tblPr>
        <w:tblStyle w:val="27"/>
        <w:tblW w:w="5185" w:type="pct"/>
        <w:tblInd w:w="-191"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06"/>
        <w:gridCol w:w="1425"/>
        <w:gridCol w:w="2543"/>
        <w:gridCol w:w="2670"/>
        <w:gridCol w:w="208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205</w:t>
            </w:r>
          </w:p>
        </w:tc>
        <w:tc>
          <w:tcPr>
            <w:tcW w:w="718" w:type="pct"/>
            <w:vMerge w:val="restart"/>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双河镇</w:t>
            </w:r>
          </w:p>
        </w:tc>
        <w:tc>
          <w:tcPr>
            <w:tcW w:w="1345" w:type="pct"/>
            <w:vMerge w:val="restar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柠条</w:t>
            </w:r>
          </w:p>
        </w:tc>
        <w:tc>
          <w:tcPr>
            <w:tcW w:w="10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206</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新营子镇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207</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伍什家镇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208</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古城镇</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608"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209</w:t>
            </w:r>
          </w:p>
        </w:tc>
        <w:tc>
          <w:tcPr>
            <w:tcW w:w="718" w:type="pct"/>
            <w:vMerge w:val="continue"/>
            <w:shd w:val="clear" w:color="auto" w:fill="auto"/>
            <w:vAlign w:val="center"/>
          </w:tcPr>
          <w:p>
            <w:pPr>
              <w:adjustRightInd/>
              <w:spacing w:line="240" w:lineRule="auto"/>
              <w:jc w:val="center"/>
              <w:rPr>
                <w:rFonts w:ascii="宋体" w:hAnsi="宋体" w:cs="宋体"/>
                <w:color w:val="000000"/>
                <w:szCs w:val="20"/>
              </w:rPr>
            </w:pPr>
          </w:p>
        </w:tc>
        <w:tc>
          <w:tcPr>
            <w:tcW w:w="1281"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河口管委会</w:t>
            </w:r>
          </w:p>
        </w:tc>
        <w:tc>
          <w:tcPr>
            <w:tcW w:w="1345" w:type="pct"/>
            <w:vMerge w:val="continue"/>
            <w:shd w:val="clear" w:color="auto" w:fill="auto"/>
            <w:vAlign w:val="center"/>
          </w:tcPr>
          <w:p>
            <w:pPr>
              <w:adjustRightInd/>
              <w:spacing w:line="240" w:lineRule="auto"/>
              <w:jc w:val="center"/>
              <w:rPr>
                <w:rFonts w:ascii="宋体" w:hAnsi="宋体" w:cs="宋体"/>
                <w:color w:val="000000"/>
                <w:szCs w:val="20"/>
              </w:rPr>
            </w:pPr>
          </w:p>
        </w:tc>
        <w:tc>
          <w:tcPr>
            <w:tcW w:w="1049" w:type="pct"/>
            <w:shd w:val="clear" w:color="auto" w:fill="auto"/>
            <w:vAlign w:val="center"/>
          </w:tcPr>
          <w:p>
            <w:pPr>
              <w:widowControl/>
              <w:adjustRightInd/>
              <w:spacing w:line="240" w:lineRule="auto"/>
              <w:jc w:val="center"/>
              <w:textAlignment w:val="center"/>
              <w:rPr>
                <w:rFonts w:ascii="宋体" w:hAnsi="宋体" w:cs="宋体"/>
                <w:color w:val="000000"/>
                <w:szCs w:val="20"/>
              </w:rPr>
            </w:pPr>
            <w:r>
              <w:rPr>
                <w:rFonts w:hint="eastAsia" w:ascii="宋体" w:hAnsi="宋体" w:cs="宋体"/>
                <w:color w:val="000000"/>
                <w:kern w:val="0"/>
                <w:szCs w:val="20"/>
                <w:lang w:bidi="ar"/>
              </w:rPr>
              <w:t>9</w:t>
            </w:r>
          </w:p>
        </w:tc>
      </w:tr>
    </w:tbl>
    <w:p>
      <w:pPr>
        <w:pStyle w:val="58"/>
        <w:ind w:firstLine="0" w:firstLineChars="0"/>
        <w:jc w:val="center"/>
      </w:pPr>
      <w:bookmarkStart w:id="43"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false"/>
                        </a:ext>
                      </a:extLst>
                    </a:blip>
                    <a:stretch>
                      <a:fillRect/>
                    </a:stretch>
                  </pic:blipFill>
                  <pic:spPr>
                    <a:xfrm>
                      <a:off x="0" y="0"/>
                      <a:ext cx="1485900" cy="317500"/>
                    </a:xfrm>
                    <a:prstGeom prst="rect">
                      <a:avLst/>
                    </a:prstGeom>
                  </pic:spPr>
                </pic:pic>
              </a:graphicData>
            </a:graphic>
          </wp:inline>
        </w:drawing>
      </w:r>
      <w:bookmarkEnd w:id="43"/>
    </w:p>
    <w:bookmarkEnd w:id="41"/>
    <w:p>
      <w:pPr>
        <w:pStyle w:val="58"/>
        <w:ind w:firstLine="0" w:firstLineChars="0"/>
        <w:rPr>
          <w:vanish/>
        </w:rPr>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Light">
    <w:altName w:val="汉仪中宋简"/>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Liberation Serif">
    <w:panose1 w:val="02020603050405020304"/>
    <w:charset w:val="00"/>
    <w:family w:val="auto"/>
    <w:pitch w:val="default"/>
    <w:sig w:usb0="A00002AF" w:usb1="500078FB" w:usb2="00000000" w:usb3="00000000" w:csb0="6000009F" w:csb1="DF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left="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4"/>
    </w:pPr>
    <w:r>
      <w:fldChar w:fldCharType="begin"/>
    </w:r>
    <w:r>
      <w:instrText xml:space="preserve">PAGE   \* MERGEFORMAT</w:instrText>
    </w:r>
    <w:r>
      <w:fldChar w:fldCharType="separate"/>
    </w:r>
    <w:r>
      <w:rPr>
        <w:lang w:val="zh-CN"/>
      </w:rPr>
      <w:t>1</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ind w:right="180"/>
    </w:pPr>
    <w:r>
      <w:fldChar w:fldCharType="begin"/>
    </w:r>
    <w:r>
      <w:instrText xml:space="preserve"> PAGE   \* MERGEFORMAT \* MERGEFORMAT </w:instrText>
    </w:r>
    <w:r>
      <w:fldChar w:fldCharType="separate"/>
    </w:r>
    <w: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1501/T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3"/>
    </w:pPr>
    <w:r>
      <w:fldChar w:fldCharType="begin"/>
    </w:r>
    <w:r>
      <w:instrText xml:space="preserve"> STYLEREF  标准文件_文件编号  \* MERGEFORMAT </w:instrText>
    </w:r>
    <w:r>
      <w:fldChar w:fldCharType="separate"/>
    </w:r>
    <w:r>
      <w:t>DB 1501/T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4"/>
    </w:pPr>
    <w:r>
      <w:fldChar w:fldCharType="begin"/>
    </w:r>
    <w:r>
      <w:instrText xml:space="preserve"> STYLEREF  标准文件_文件编号 \* MERGEFORMAT </w:instrText>
    </w:r>
    <w:r>
      <w:fldChar w:fldCharType="separate"/>
    </w:r>
    <w:r>
      <w:t>DB 1501/T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pStyle w:val="246"/>
      <w:lvlText w:val="%2)"/>
      <w:lvlJc w:val="left"/>
      <w:pPr>
        <w:tabs>
          <w:tab w:val="left" w:pos="1838"/>
        </w:tabs>
        <w:ind w:left="1838" w:hanging="420"/>
      </w:pPr>
    </w:lvl>
    <w:lvl w:ilvl="2" w:tentative="0">
      <w:start w:val="1"/>
      <w:numFmt w:val="lowerRoman"/>
      <w:pStyle w:val="245"/>
      <w:lvlText w:val="%3."/>
      <w:lvlJc w:val="right"/>
      <w:pPr>
        <w:tabs>
          <w:tab w:val="left" w:pos="2258"/>
        </w:tabs>
        <w:ind w:left="2258" w:hanging="420"/>
      </w:pPr>
    </w:lvl>
    <w:lvl w:ilvl="3" w:tentative="0">
      <w:start w:val="1"/>
      <w:numFmt w:val="decimal"/>
      <w:pStyle w:val="249"/>
      <w:lvlText w:val="%4."/>
      <w:lvlJc w:val="left"/>
      <w:pPr>
        <w:tabs>
          <w:tab w:val="left" w:pos="2678"/>
        </w:tabs>
        <w:ind w:left="2678" w:hanging="420"/>
      </w:pPr>
    </w:lvl>
    <w:lvl w:ilvl="4" w:tentative="0">
      <w:start w:val="1"/>
      <w:numFmt w:val="lowerLetter"/>
      <w:pStyle w:val="248"/>
      <w:lvlText w:val="%5)"/>
      <w:lvlJc w:val="left"/>
      <w:pPr>
        <w:tabs>
          <w:tab w:val="left" w:pos="3098"/>
        </w:tabs>
        <w:ind w:left="3098" w:hanging="420"/>
      </w:pPr>
    </w:lvl>
    <w:lvl w:ilvl="5" w:tentative="0">
      <w:start w:val="1"/>
      <w:numFmt w:val="lowerRoman"/>
      <w:pStyle w:val="251"/>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210" w:firstLine="0"/>
      </w:pPr>
      <w:rPr>
        <w:rFonts w:hint="eastAsia"/>
        <w:spacing w:val="100"/>
        <w:lang w:val="en-US"/>
      </w:rPr>
    </w:lvl>
    <w:lvl w:ilvl="1" w:tentative="0">
      <w:start w:val="1"/>
      <w:numFmt w:val="decimal"/>
      <w:pStyle w:val="80"/>
      <w:suff w:val="nothing"/>
      <w:lvlText w:val="%1.%2　"/>
      <w:lvlJc w:val="left"/>
      <w:pPr>
        <w:ind w:left="-210" w:firstLine="0"/>
      </w:pPr>
      <w:rPr>
        <w:rFonts w:hint="eastAsia" w:ascii="黑体" w:eastAsia="黑体"/>
        <w:b w:val="0"/>
        <w:i w:val="0"/>
        <w:sz w:val="21"/>
      </w:rPr>
    </w:lvl>
    <w:lvl w:ilvl="2" w:tentative="0">
      <w:start w:val="1"/>
      <w:numFmt w:val="decimal"/>
      <w:pStyle w:val="81"/>
      <w:suff w:val="nothing"/>
      <w:lvlText w:val="%1.%2.%3　"/>
      <w:lvlJc w:val="left"/>
      <w:pPr>
        <w:ind w:left="-210" w:firstLine="0"/>
      </w:pPr>
      <w:rPr>
        <w:rFonts w:hint="eastAsia" w:ascii="黑体" w:eastAsia="黑体"/>
        <w:b w:val="0"/>
        <w:i w:val="0"/>
        <w:sz w:val="21"/>
      </w:rPr>
    </w:lvl>
    <w:lvl w:ilvl="3" w:tentative="0">
      <w:start w:val="1"/>
      <w:numFmt w:val="decimal"/>
      <w:pStyle w:val="83"/>
      <w:suff w:val="nothing"/>
      <w:lvlText w:val="%1.%2.%3.%4　"/>
      <w:lvlJc w:val="left"/>
      <w:pPr>
        <w:ind w:left="-210" w:firstLine="0"/>
      </w:pPr>
      <w:rPr>
        <w:rFonts w:hint="eastAsia" w:ascii="黑体" w:eastAsia="黑体"/>
        <w:b w:val="0"/>
        <w:i w:val="0"/>
        <w:sz w:val="21"/>
      </w:rPr>
    </w:lvl>
    <w:lvl w:ilvl="4" w:tentative="0">
      <w:start w:val="1"/>
      <w:numFmt w:val="decimal"/>
      <w:pStyle w:val="84"/>
      <w:suff w:val="nothing"/>
      <w:lvlText w:val="%1.%2.%3.%4.%5　"/>
      <w:lvlJc w:val="left"/>
      <w:pPr>
        <w:ind w:left="-210" w:firstLine="0"/>
      </w:pPr>
      <w:rPr>
        <w:rFonts w:hint="eastAsia" w:ascii="黑体" w:eastAsia="黑体"/>
        <w:b w:val="0"/>
        <w:i w:val="0"/>
        <w:sz w:val="21"/>
      </w:rPr>
    </w:lvl>
    <w:lvl w:ilvl="5" w:tentative="0">
      <w:start w:val="1"/>
      <w:numFmt w:val="decimal"/>
      <w:pStyle w:val="86"/>
      <w:suff w:val="nothing"/>
      <w:lvlText w:val="%1.%2.%3.%4.%5.%6　"/>
      <w:lvlJc w:val="left"/>
      <w:pPr>
        <w:ind w:left="-210" w:firstLine="0"/>
      </w:pPr>
      <w:rPr>
        <w:rFonts w:hint="eastAsia" w:ascii="黑体" w:eastAsia="黑体"/>
        <w:b w:val="0"/>
        <w:i w:val="0"/>
        <w:sz w:val="21"/>
      </w:rPr>
    </w:lvl>
    <w:lvl w:ilvl="6" w:tentative="0">
      <w:start w:val="1"/>
      <w:numFmt w:val="decimal"/>
      <w:suff w:val="nothing"/>
      <w:lvlText w:val="%1.%2.%3.%4.%5.%6.%7　"/>
      <w:lvlJc w:val="left"/>
      <w:pPr>
        <w:ind w:left="-210" w:firstLine="0"/>
      </w:pPr>
      <w:rPr>
        <w:rFonts w:hint="eastAsia"/>
      </w:rPr>
    </w:lvl>
    <w:lvl w:ilvl="7" w:tentative="0">
      <w:start w:val="1"/>
      <w:numFmt w:val="decimal"/>
      <w:lvlText w:val="%1.%2.%3.%4.%5.%6.%7.%8"/>
      <w:lvlJc w:val="left"/>
      <w:pPr>
        <w:tabs>
          <w:tab w:val="left" w:pos="4394"/>
        </w:tabs>
        <w:ind w:left="4184" w:hanging="1418"/>
      </w:pPr>
      <w:rPr>
        <w:rFonts w:hint="eastAsia"/>
      </w:rPr>
    </w:lvl>
    <w:lvl w:ilvl="8" w:tentative="0">
      <w:start w:val="1"/>
      <w:numFmt w:val="decimal"/>
      <w:lvlText w:val="%1.%2.%3.%4.%5.%6.%7.%8.%9"/>
      <w:lvlJc w:val="left"/>
      <w:pPr>
        <w:tabs>
          <w:tab w:val="left" w:pos="5102"/>
        </w:tabs>
        <w:ind w:left="489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attachedTemplate r:id="rId1"/>
  <w:documentProtection w:edit="forms" w:enforcement="0"/>
  <w:defaultTabStop w:val="420"/>
  <w:evenAndOddHeaders w:val="true"/>
  <w:drawingGridHorizontalSpacing w:val="105"/>
  <w:drawingGridVerticalSpacing w:val="156"/>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RmNzU3ZGFhYWRmYTlhYzIxOGQ3ZWQ1ZWVlMGY0NmMifQ=="/>
  </w:docVars>
  <w:rsids>
    <w:rsidRoot w:val="00454533"/>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4F6D"/>
    <w:rsid w:val="00046AF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3F9C"/>
    <w:rsid w:val="00094D73"/>
    <w:rsid w:val="000955D1"/>
    <w:rsid w:val="00096D63"/>
    <w:rsid w:val="000A0B60"/>
    <w:rsid w:val="000A0EB8"/>
    <w:rsid w:val="000A19FC"/>
    <w:rsid w:val="000A296B"/>
    <w:rsid w:val="000A3F6A"/>
    <w:rsid w:val="000A7311"/>
    <w:rsid w:val="000B060F"/>
    <w:rsid w:val="000B1592"/>
    <w:rsid w:val="000B1FF2"/>
    <w:rsid w:val="000B3CDA"/>
    <w:rsid w:val="000B6A0B"/>
    <w:rsid w:val="000C07F3"/>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1D0F"/>
    <w:rsid w:val="000E4C9E"/>
    <w:rsid w:val="000E6FD7"/>
    <w:rsid w:val="000F06E1"/>
    <w:rsid w:val="000F0E3C"/>
    <w:rsid w:val="000F19D5"/>
    <w:rsid w:val="000F4AEA"/>
    <w:rsid w:val="000F633F"/>
    <w:rsid w:val="000F67E9"/>
    <w:rsid w:val="001007D5"/>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998"/>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31C"/>
    <w:rsid w:val="0017340B"/>
    <w:rsid w:val="00173FB1"/>
    <w:rsid w:val="00176DFD"/>
    <w:rsid w:val="001841B3"/>
    <w:rsid w:val="001852C9"/>
    <w:rsid w:val="00190087"/>
    <w:rsid w:val="001913C4"/>
    <w:rsid w:val="0019348F"/>
    <w:rsid w:val="00193A07"/>
    <w:rsid w:val="00194C95"/>
    <w:rsid w:val="00195C34"/>
    <w:rsid w:val="00196EF5"/>
    <w:rsid w:val="001A1A53"/>
    <w:rsid w:val="001A234A"/>
    <w:rsid w:val="001A4CF3"/>
    <w:rsid w:val="001A787F"/>
    <w:rsid w:val="001B06E8"/>
    <w:rsid w:val="001B3507"/>
    <w:rsid w:val="001B3A99"/>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9FE"/>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954"/>
    <w:rsid w:val="00292D60"/>
    <w:rsid w:val="002933C4"/>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EF3"/>
    <w:rsid w:val="002E6326"/>
    <w:rsid w:val="002E6B0A"/>
    <w:rsid w:val="002F0AD0"/>
    <w:rsid w:val="002F30E0"/>
    <w:rsid w:val="002F35E4"/>
    <w:rsid w:val="002F3730"/>
    <w:rsid w:val="002F38E1"/>
    <w:rsid w:val="002F7AF6"/>
    <w:rsid w:val="00300E63"/>
    <w:rsid w:val="00302F5F"/>
    <w:rsid w:val="0030441D"/>
    <w:rsid w:val="00306063"/>
    <w:rsid w:val="00313B85"/>
    <w:rsid w:val="00317988"/>
    <w:rsid w:val="003221B4"/>
    <w:rsid w:val="00322368"/>
    <w:rsid w:val="0032258D"/>
    <w:rsid w:val="00322E62"/>
    <w:rsid w:val="00324D13"/>
    <w:rsid w:val="00324D2A"/>
    <w:rsid w:val="00324EDD"/>
    <w:rsid w:val="00333065"/>
    <w:rsid w:val="003331E4"/>
    <w:rsid w:val="00336C64"/>
    <w:rsid w:val="00337162"/>
    <w:rsid w:val="0034194F"/>
    <w:rsid w:val="00344605"/>
    <w:rsid w:val="003474AA"/>
    <w:rsid w:val="00350D1D"/>
    <w:rsid w:val="00352C83"/>
    <w:rsid w:val="003615D2"/>
    <w:rsid w:val="0036429C"/>
    <w:rsid w:val="00364A53"/>
    <w:rsid w:val="003654CB"/>
    <w:rsid w:val="003656C8"/>
    <w:rsid w:val="00365AA9"/>
    <w:rsid w:val="00365F86"/>
    <w:rsid w:val="00365F87"/>
    <w:rsid w:val="00366E89"/>
    <w:rsid w:val="003705F4"/>
    <w:rsid w:val="00370D58"/>
    <w:rsid w:val="00371316"/>
    <w:rsid w:val="00376713"/>
    <w:rsid w:val="00380219"/>
    <w:rsid w:val="00381815"/>
    <w:rsid w:val="003819AF"/>
    <w:rsid w:val="003820E9"/>
    <w:rsid w:val="00382DE7"/>
    <w:rsid w:val="00383529"/>
    <w:rsid w:val="00384FFC"/>
    <w:rsid w:val="003850DD"/>
    <w:rsid w:val="003872FC"/>
    <w:rsid w:val="00387ADC"/>
    <w:rsid w:val="00390020"/>
    <w:rsid w:val="003903D6"/>
    <w:rsid w:val="00390EE6"/>
    <w:rsid w:val="0039118F"/>
    <w:rsid w:val="00392AD7"/>
    <w:rsid w:val="003938D9"/>
    <w:rsid w:val="0039410E"/>
    <w:rsid w:val="00394376"/>
    <w:rsid w:val="003943FF"/>
    <w:rsid w:val="00395700"/>
    <w:rsid w:val="003974EB"/>
    <w:rsid w:val="00397CC5"/>
    <w:rsid w:val="003A1582"/>
    <w:rsid w:val="003A4077"/>
    <w:rsid w:val="003A4705"/>
    <w:rsid w:val="003B09AD"/>
    <w:rsid w:val="003B1F18"/>
    <w:rsid w:val="003B5BF0"/>
    <w:rsid w:val="003B60BF"/>
    <w:rsid w:val="003B6BE3"/>
    <w:rsid w:val="003C010C"/>
    <w:rsid w:val="003C0A6C"/>
    <w:rsid w:val="003C14F8"/>
    <w:rsid w:val="003C5A43"/>
    <w:rsid w:val="003D0519"/>
    <w:rsid w:val="003D0FF6"/>
    <w:rsid w:val="003D262C"/>
    <w:rsid w:val="003D53AE"/>
    <w:rsid w:val="003D6D61"/>
    <w:rsid w:val="003D79C6"/>
    <w:rsid w:val="003E091D"/>
    <w:rsid w:val="003E1C53"/>
    <w:rsid w:val="003E2A69"/>
    <w:rsid w:val="003E2D49"/>
    <w:rsid w:val="003E2FD4"/>
    <w:rsid w:val="003E4046"/>
    <w:rsid w:val="003E49F6"/>
    <w:rsid w:val="003E660F"/>
    <w:rsid w:val="003F0841"/>
    <w:rsid w:val="003F23D3"/>
    <w:rsid w:val="003F3F08"/>
    <w:rsid w:val="003F49F1"/>
    <w:rsid w:val="003F6272"/>
    <w:rsid w:val="00400E72"/>
    <w:rsid w:val="00401400"/>
    <w:rsid w:val="00402A3A"/>
    <w:rsid w:val="00404869"/>
    <w:rsid w:val="00405884"/>
    <w:rsid w:val="00407D39"/>
    <w:rsid w:val="0041477A"/>
    <w:rsid w:val="004167A3"/>
    <w:rsid w:val="00420309"/>
    <w:rsid w:val="00432DAA"/>
    <w:rsid w:val="00434305"/>
    <w:rsid w:val="00435DF7"/>
    <w:rsid w:val="0044083F"/>
    <w:rsid w:val="00441AE7"/>
    <w:rsid w:val="00442C72"/>
    <w:rsid w:val="00445574"/>
    <w:rsid w:val="00446245"/>
    <w:rsid w:val="004467FB"/>
    <w:rsid w:val="00452D6B"/>
    <w:rsid w:val="00454484"/>
    <w:rsid w:val="00454533"/>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AD1"/>
    <w:rsid w:val="004E2B06"/>
    <w:rsid w:val="004E30C5"/>
    <w:rsid w:val="004E4AA5"/>
    <w:rsid w:val="004E4AEE"/>
    <w:rsid w:val="004E59E3"/>
    <w:rsid w:val="004E67C0"/>
    <w:rsid w:val="004F391A"/>
    <w:rsid w:val="004F3CFB"/>
    <w:rsid w:val="004F6456"/>
    <w:rsid w:val="004F696E"/>
    <w:rsid w:val="004F6C71"/>
    <w:rsid w:val="004F6E48"/>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98F"/>
    <w:rsid w:val="00533D04"/>
    <w:rsid w:val="00534804"/>
    <w:rsid w:val="00534BDF"/>
    <w:rsid w:val="005354EA"/>
    <w:rsid w:val="0053585F"/>
    <w:rsid w:val="00535EC4"/>
    <w:rsid w:val="00535ED9"/>
    <w:rsid w:val="0053600D"/>
    <w:rsid w:val="0053692B"/>
    <w:rsid w:val="00541853"/>
    <w:rsid w:val="00543BDA"/>
    <w:rsid w:val="005441CC"/>
    <w:rsid w:val="005479DA"/>
    <w:rsid w:val="00547BCC"/>
    <w:rsid w:val="0055013B"/>
    <w:rsid w:val="00551F6F"/>
    <w:rsid w:val="00555044"/>
    <w:rsid w:val="00561475"/>
    <w:rsid w:val="0056487B"/>
    <w:rsid w:val="00564FB9"/>
    <w:rsid w:val="00572277"/>
    <w:rsid w:val="005730DB"/>
    <w:rsid w:val="00573D9E"/>
    <w:rsid w:val="005801E3"/>
    <w:rsid w:val="00581802"/>
    <w:rsid w:val="005836A8"/>
    <w:rsid w:val="0058409C"/>
    <w:rsid w:val="00584262"/>
    <w:rsid w:val="005860B5"/>
    <w:rsid w:val="00586630"/>
    <w:rsid w:val="00587ADD"/>
    <w:rsid w:val="00591E27"/>
    <w:rsid w:val="005930D6"/>
    <w:rsid w:val="00596160"/>
    <w:rsid w:val="005966E2"/>
    <w:rsid w:val="00597007"/>
    <w:rsid w:val="005A0966"/>
    <w:rsid w:val="005A11B7"/>
    <w:rsid w:val="005A260B"/>
    <w:rsid w:val="005A4A1B"/>
    <w:rsid w:val="005A7830"/>
    <w:rsid w:val="005A7FCE"/>
    <w:rsid w:val="005B0F3F"/>
    <w:rsid w:val="005B18DF"/>
    <w:rsid w:val="005B4903"/>
    <w:rsid w:val="005B4E9B"/>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5CC"/>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40C"/>
    <w:rsid w:val="00645904"/>
    <w:rsid w:val="00651ACB"/>
    <w:rsid w:val="00651C47"/>
    <w:rsid w:val="00652AB2"/>
    <w:rsid w:val="00653FED"/>
    <w:rsid w:val="00654EC0"/>
    <w:rsid w:val="0065525B"/>
    <w:rsid w:val="00655D4F"/>
    <w:rsid w:val="00656D29"/>
    <w:rsid w:val="00657F90"/>
    <w:rsid w:val="006610F5"/>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24E5"/>
    <w:rsid w:val="006C534C"/>
    <w:rsid w:val="006C5A62"/>
    <w:rsid w:val="006C5D68"/>
    <w:rsid w:val="006C6976"/>
    <w:rsid w:val="006C6DD0"/>
    <w:rsid w:val="006D04EA"/>
    <w:rsid w:val="006D0AB7"/>
    <w:rsid w:val="006D16C4"/>
    <w:rsid w:val="006D3E96"/>
    <w:rsid w:val="006D4515"/>
    <w:rsid w:val="006D4BB1"/>
    <w:rsid w:val="006D6593"/>
    <w:rsid w:val="006E23EA"/>
    <w:rsid w:val="006F03A8"/>
    <w:rsid w:val="006F20DC"/>
    <w:rsid w:val="006F2ACA"/>
    <w:rsid w:val="006F2ADC"/>
    <w:rsid w:val="006F2BFE"/>
    <w:rsid w:val="006F31E9"/>
    <w:rsid w:val="006F6284"/>
    <w:rsid w:val="007002C5"/>
    <w:rsid w:val="00704387"/>
    <w:rsid w:val="00707669"/>
    <w:rsid w:val="00710754"/>
    <w:rsid w:val="00711CBA"/>
    <w:rsid w:val="00711FB5"/>
    <w:rsid w:val="00712A01"/>
    <w:rsid w:val="00714F58"/>
    <w:rsid w:val="0072130D"/>
    <w:rsid w:val="007227F3"/>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5A75"/>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156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BC6"/>
    <w:rsid w:val="007A7FFA"/>
    <w:rsid w:val="007B04EB"/>
    <w:rsid w:val="007B0D4F"/>
    <w:rsid w:val="007B21CE"/>
    <w:rsid w:val="007B5A3D"/>
    <w:rsid w:val="007B5B95"/>
    <w:rsid w:val="007B68EA"/>
    <w:rsid w:val="007B7453"/>
    <w:rsid w:val="007C1E8B"/>
    <w:rsid w:val="007C2D89"/>
    <w:rsid w:val="007C4593"/>
    <w:rsid w:val="007C5309"/>
    <w:rsid w:val="007C6069"/>
    <w:rsid w:val="007D06C4"/>
    <w:rsid w:val="007D1352"/>
    <w:rsid w:val="007D2194"/>
    <w:rsid w:val="007D2508"/>
    <w:rsid w:val="007D346A"/>
    <w:rsid w:val="007D6518"/>
    <w:rsid w:val="007D76BD"/>
    <w:rsid w:val="007E0BF1"/>
    <w:rsid w:val="007F0086"/>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46A6E"/>
    <w:rsid w:val="0085173A"/>
    <w:rsid w:val="00856316"/>
    <w:rsid w:val="008603CE"/>
    <w:rsid w:val="008620FC"/>
    <w:rsid w:val="008627A5"/>
    <w:rsid w:val="00863E05"/>
    <w:rsid w:val="00865ACA"/>
    <w:rsid w:val="00865D28"/>
    <w:rsid w:val="00865F85"/>
    <w:rsid w:val="008678C2"/>
    <w:rsid w:val="00867C10"/>
    <w:rsid w:val="00870439"/>
    <w:rsid w:val="00870DA1"/>
    <w:rsid w:val="00883F93"/>
    <w:rsid w:val="00884DB3"/>
    <w:rsid w:val="00884FB5"/>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5895"/>
    <w:rsid w:val="008A6F81"/>
    <w:rsid w:val="008A769A"/>
    <w:rsid w:val="008B0C9C"/>
    <w:rsid w:val="008B166D"/>
    <w:rsid w:val="008B17F4"/>
    <w:rsid w:val="008B3615"/>
    <w:rsid w:val="008B4AC4"/>
    <w:rsid w:val="008B50C8"/>
    <w:rsid w:val="008B5281"/>
    <w:rsid w:val="008B7E05"/>
    <w:rsid w:val="008C0F97"/>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521C"/>
    <w:rsid w:val="00905C5E"/>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1DF"/>
    <w:rsid w:val="009674AD"/>
    <w:rsid w:val="00970CDC"/>
    <w:rsid w:val="00977010"/>
    <w:rsid w:val="00977D02"/>
    <w:rsid w:val="009809BB"/>
    <w:rsid w:val="0098228D"/>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07ED8"/>
    <w:rsid w:val="00A124CA"/>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6DA6"/>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B7568"/>
    <w:rsid w:val="00AC27A6"/>
    <w:rsid w:val="00AC30F7"/>
    <w:rsid w:val="00AC3A5A"/>
    <w:rsid w:val="00AC4D95"/>
    <w:rsid w:val="00AC5DF4"/>
    <w:rsid w:val="00AD0AEF"/>
    <w:rsid w:val="00AD11B7"/>
    <w:rsid w:val="00AD1A94"/>
    <w:rsid w:val="00AD1C05"/>
    <w:rsid w:val="00AD28AC"/>
    <w:rsid w:val="00AD4126"/>
    <w:rsid w:val="00AD421C"/>
    <w:rsid w:val="00AD44FA"/>
    <w:rsid w:val="00AE070A"/>
    <w:rsid w:val="00AE101C"/>
    <w:rsid w:val="00AE37E5"/>
    <w:rsid w:val="00AE5EB4"/>
    <w:rsid w:val="00AF0C18"/>
    <w:rsid w:val="00AF47C5"/>
    <w:rsid w:val="00AF4DC8"/>
    <w:rsid w:val="00AF5398"/>
    <w:rsid w:val="00B049AF"/>
    <w:rsid w:val="00B05E92"/>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0EC6"/>
    <w:rsid w:val="00B52120"/>
    <w:rsid w:val="00B54ABC"/>
    <w:rsid w:val="00B54DDE"/>
    <w:rsid w:val="00B56FBE"/>
    <w:rsid w:val="00B5781D"/>
    <w:rsid w:val="00B60ACF"/>
    <w:rsid w:val="00B617A0"/>
    <w:rsid w:val="00B62B58"/>
    <w:rsid w:val="00B63870"/>
    <w:rsid w:val="00B65149"/>
    <w:rsid w:val="00B66567"/>
    <w:rsid w:val="00B66F52"/>
    <w:rsid w:val="00B66FE5"/>
    <w:rsid w:val="00B72880"/>
    <w:rsid w:val="00B75204"/>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31C5"/>
    <w:rsid w:val="00BC4790"/>
    <w:rsid w:val="00BC5DC7"/>
    <w:rsid w:val="00BC6B8B"/>
    <w:rsid w:val="00BC73D8"/>
    <w:rsid w:val="00BD050C"/>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44E4C"/>
    <w:rsid w:val="00C521D6"/>
    <w:rsid w:val="00C55232"/>
    <w:rsid w:val="00C553A4"/>
    <w:rsid w:val="00C55A06"/>
    <w:rsid w:val="00C55D03"/>
    <w:rsid w:val="00C601BC"/>
    <w:rsid w:val="00C6329F"/>
    <w:rsid w:val="00C63340"/>
    <w:rsid w:val="00C643F9"/>
    <w:rsid w:val="00C64E95"/>
    <w:rsid w:val="00C71372"/>
    <w:rsid w:val="00C72410"/>
    <w:rsid w:val="00C7287F"/>
    <w:rsid w:val="00C73E88"/>
    <w:rsid w:val="00C74D5B"/>
    <w:rsid w:val="00C7741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1676"/>
    <w:rsid w:val="00CF2947"/>
    <w:rsid w:val="00CF686F"/>
    <w:rsid w:val="00CF6E60"/>
    <w:rsid w:val="00CF7BCA"/>
    <w:rsid w:val="00D008FD"/>
    <w:rsid w:val="00D029F6"/>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54666"/>
    <w:rsid w:val="00D62B21"/>
    <w:rsid w:val="00D66846"/>
    <w:rsid w:val="00D675FB"/>
    <w:rsid w:val="00D71F25"/>
    <w:rsid w:val="00D72A9C"/>
    <w:rsid w:val="00D74EB9"/>
    <w:rsid w:val="00D77031"/>
    <w:rsid w:val="00D84941"/>
    <w:rsid w:val="00D84FA1"/>
    <w:rsid w:val="00D851F0"/>
    <w:rsid w:val="00D86DB7"/>
    <w:rsid w:val="00D926D0"/>
    <w:rsid w:val="00D93030"/>
    <w:rsid w:val="00D950E1"/>
    <w:rsid w:val="00D952A6"/>
    <w:rsid w:val="00D97F99"/>
    <w:rsid w:val="00DA0BF4"/>
    <w:rsid w:val="00DA1E08"/>
    <w:rsid w:val="00DA24F8"/>
    <w:rsid w:val="00DA28E8"/>
    <w:rsid w:val="00DA38D3"/>
    <w:rsid w:val="00DA3932"/>
    <w:rsid w:val="00DA3AFC"/>
    <w:rsid w:val="00DA5191"/>
    <w:rsid w:val="00DA64F8"/>
    <w:rsid w:val="00DA6C15"/>
    <w:rsid w:val="00DB0258"/>
    <w:rsid w:val="00DB340B"/>
    <w:rsid w:val="00DB38EE"/>
    <w:rsid w:val="00DB498B"/>
    <w:rsid w:val="00DB66CA"/>
    <w:rsid w:val="00DB6BCA"/>
    <w:rsid w:val="00DB73F7"/>
    <w:rsid w:val="00DC0321"/>
    <w:rsid w:val="00DC3067"/>
    <w:rsid w:val="00DC370B"/>
    <w:rsid w:val="00DC5B90"/>
    <w:rsid w:val="00DD00FF"/>
    <w:rsid w:val="00DD0619"/>
    <w:rsid w:val="00DD07FB"/>
    <w:rsid w:val="00DD25C6"/>
    <w:rsid w:val="00DD4FD5"/>
    <w:rsid w:val="00DD4FE5"/>
    <w:rsid w:val="00DD54B0"/>
    <w:rsid w:val="00DD57EE"/>
    <w:rsid w:val="00DD5FD3"/>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3B70"/>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233"/>
    <w:rsid w:val="00E60C63"/>
    <w:rsid w:val="00E62FF9"/>
    <w:rsid w:val="00E635D6"/>
    <w:rsid w:val="00E639BC"/>
    <w:rsid w:val="00E664CC"/>
    <w:rsid w:val="00E70388"/>
    <w:rsid w:val="00E70EC7"/>
    <w:rsid w:val="00E70F92"/>
    <w:rsid w:val="00E74C54"/>
    <w:rsid w:val="00E74ED7"/>
    <w:rsid w:val="00E77A03"/>
    <w:rsid w:val="00E822E8"/>
    <w:rsid w:val="00E82554"/>
    <w:rsid w:val="00E82606"/>
    <w:rsid w:val="00E846C8"/>
    <w:rsid w:val="00E84957"/>
    <w:rsid w:val="00E84A55"/>
    <w:rsid w:val="00E85BFF"/>
    <w:rsid w:val="00E90391"/>
    <w:rsid w:val="00E906C2"/>
    <w:rsid w:val="00E9311F"/>
    <w:rsid w:val="00E934D1"/>
    <w:rsid w:val="00E947D8"/>
    <w:rsid w:val="00E94AF0"/>
    <w:rsid w:val="00E95D13"/>
    <w:rsid w:val="00E95DD3"/>
    <w:rsid w:val="00E969D5"/>
    <w:rsid w:val="00EA14B5"/>
    <w:rsid w:val="00EA58D1"/>
    <w:rsid w:val="00EA61BC"/>
    <w:rsid w:val="00EA681A"/>
    <w:rsid w:val="00EA735B"/>
    <w:rsid w:val="00EB17DE"/>
    <w:rsid w:val="00EB1E69"/>
    <w:rsid w:val="00EB2086"/>
    <w:rsid w:val="00EB5EDF"/>
    <w:rsid w:val="00EB60FE"/>
    <w:rsid w:val="00EB74DB"/>
    <w:rsid w:val="00EC5359"/>
    <w:rsid w:val="00EC562A"/>
    <w:rsid w:val="00EC5E44"/>
    <w:rsid w:val="00ED067A"/>
    <w:rsid w:val="00ED2B50"/>
    <w:rsid w:val="00EE0350"/>
    <w:rsid w:val="00EE0719"/>
    <w:rsid w:val="00EE0E80"/>
    <w:rsid w:val="00EE54A6"/>
    <w:rsid w:val="00EE613F"/>
    <w:rsid w:val="00EE7295"/>
    <w:rsid w:val="00EE7869"/>
    <w:rsid w:val="00EF054A"/>
    <w:rsid w:val="00EF3235"/>
    <w:rsid w:val="00EF3297"/>
    <w:rsid w:val="00EF4E95"/>
    <w:rsid w:val="00EF7E72"/>
    <w:rsid w:val="00F06D37"/>
    <w:rsid w:val="00F07B9D"/>
    <w:rsid w:val="00F11586"/>
    <w:rsid w:val="00F1183B"/>
    <w:rsid w:val="00F11C9F"/>
    <w:rsid w:val="00F12263"/>
    <w:rsid w:val="00F12647"/>
    <w:rsid w:val="00F1409D"/>
    <w:rsid w:val="00F14214"/>
    <w:rsid w:val="00F157A9"/>
    <w:rsid w:val="00F25BB6"/>
    <w:rsid w:val="00F26B7E"/>
    <w:rsid w:val="00F27A3B"/>
    <w:rsid w:val="00F33817"/>
    <w:rsid w:val="00F37728"/>
    <w:rsid w:val="00F420D5"/>
    <w:rsid w:val="00F451EA"/>
    <w:rsid w:val="00F45447"/>
    <w:rsid w:val="00F454A8"/>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CBA"/>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2393"/>
    <w:rsid w:val="00FE3901"/>
    <w:rsid w:val="00FE39D3"/>
    <w:rsid w:val="00FE4BCE"/>
    <w:rsid w:val="00FE54AE"/>
    <w:rsid w:val="00FE576A"/>
    <w:rsid w:val="00FE7E79"/>
    <w:rsid w:val="00FF10AE"/>
    <w:rsid w:val="00FF3526"/>
    <w:rsid w:val="00FF3CFA"/>
    <w:rsid w:val="00FF3E7D"/>
    <w:rsid w:val="00FF5B99"/>
    <w:rsid w:val="00FF730C"/>
    <w:rsid w:val="00FF73F4"/>
    <w:rsid w:val="00FF7CE4"/>
    <w:rsid w:val="00FF7E39"/>
    <w:rsid w:val="03CE3596"/>
    <w:rsid w:val="04E07AFE"/>
    <w:rsid w:val="05341DD6"/>
    <w:rsid w:val="05C363E6"/>
    <w:rsid w:val="06110369"/>
    <w:rsid w:val="06707ABE"/>
    <w:rsid w:val="06BD217D"/>
    <w:rsid w:val="079E08CA"/>
    <w:rsid w:val="08973C05"/>
    <w:rsid w:val="0CA8522A"/>
    <w:rsid w:val="0E6C6C44"/>
    <w:rsid w:val="0F1F35DC"/>
    <w:rsid w:val="111B1C36"/>
    <w:rsid w:val="11F12DFD"/>
    <w:rsid w:val="13C16DDC"/>
    <w:rsid w:val="145C6D17"/>
    <w:rsid w:val="14B045B4"/>
    <w:rsid w:val="16A46D13"/>
    <w:rsid w:val="175F510B"/>
    <w:rsid w:val="1C1C2AA1"/>
    <w:rsid w:val="1C3B3679"/>
    <w:rsid w:val="1D306ECF"/>
    <w:rsid w:val="1F3F20C1"/>
    <w:rsid w:val="2048554E"/>
    <w:rsid w:val="2306008A"/>
    <w:rsid w:val="27267288"/>
    <w:rsid w:val="2ACA0963"/>
    <w:rsid w:val="2CF61AF0"/>
    <w:rsid w:val="2E112B7C"/>
    <w:rsid w:val="2E1C30BA"/>
    <w:rsid w:val="2ECE0B9E"/>
    <w:rsid w:val="2FEC7D80"/>
    <w:rsid w:val="33713745"/>
    <w:rsid w:val="34B26D13"/>
    <w:rsid w:val="34F80C62"/>
    <w:rsid w:val="35995E75"/>
    <w:rsid w:val="35BA0ED0"/>
    <w:rsid w:val="37E22DB7"/>
    <w:rsid w:val="396F6FC5"/>
    <w:rsid w:val="3BF03FA1"/>
    <w:rsid w:val="3CFE26EE"/>
    <w:rsid w:val="3D615277"/>
    <w:rsid w:val="40895B55"/>
    <w:rsid w:val="40B218EC"/>
    <w:rsid w:val="40F761A9"/>
    <w:rsid w:val="43EE53C7"/>
    <w:rsid w:val="4450735F"/>
    <w:rsid w:val="46FD7572"/>
    <w:rsid w:val="49227764"/>
    <w:rsid w:val="495042D1"/>
    <w:rsid w:val="4AB70B7A"/>
    <w:rsid w:val="4AC22FAD"/>
    <w:rsid w:val="4C461C46"/>
    <w:rsid w:val="4D561C4F"/>
    <w:rsid w:val="4E2346EA"/>
    <w:rsid w:val="4F0C6738"/>
    <w:rsid w:val="4FAC2F25"/>
    <w:rsid w:val="50C33216"/>
    <w:rsid w:val="523C627A"/>
    <w:rsid w:val="529B1C85"/>
    <w:rsid w:val="52E338EE"/>
    <w:rsid w:val="53EB1E81"/>
    <w:rsid w:val="547075D6"/>
    <w:rsid w:val="549534E0"/>
    <w:rsid w:val="5622452A"/>
    <w:rsid w:val="565534F6"/>
    <w:rsid w:val="568060D3"/>
    <w:rsid w:val="574879CF"/>
    <w:rsid w:val="57A94F64"/>
    <w:rsid w:val="58740E2D"/>
    <w:rsid w:val="590C3E66"/>
    <w:rsid w:val="596811C3"/>
    <w:rsid w:val="5A2A46CB"/>
    <w:rsid w:val="5A897643"/>
    <w:rsid w:val="5CA2679A"/>
    <w:rsid w:val="5E145476"/>
    <w:rsid w:val="5FA647F3"/>
    <w:rsid w:val="6029370B"/>
    <w:rsid w:val="60722F34"/>
    <w:rsid w:val="61B551C2"/>
    <w:rsid w:val="63710751"/>
    <w:rsid w:val="63BF40D6"/>
    <w:rsid w:val="642607C4"/>
    <w:rsid w:val="651F307E"/>
    <w:rsid w:val="65A11CE5"/>
    <w:rsid w:val="67FF1B9D"/>
    <w:rsid w:val="697A6D65"/>
    <w:rsid w:val="6A49559B"/>
    <w:rsid w:val="6BA26CED"/>
    <w:rsid w:val="6DE70A2B"/>
    <w:rsid w:val="6E8A033A"/>
    <w:rsid w:val="6E9103DE"/>
    <w:rsid w:val="6F9B1553"/>
    <w:rsid w:val="6FD204A4"/>
    <w:rsid w:val="7000571C"/>
    <w:rsid w:val="71834994"/>
    <w:rsid w:val="71882733"/>
    <w:rsid w:val="726B5B54"/>
    <w:rsid w:val="76862AA9"/>
    <w:rsid w:val="77E31CE9"/>
    <w:rsid w:val="793425DB"/>
    <w:rsid w:val="79A13776"/>
    <w:rsid w:val="7B18439F"/>
    <w:rsid w:val="7B1D7C08"/>
    <w:rsid w:val="7CE44574"/>
    <w:rsid w:val="7DD50326"/>
    <w:rsid w:val="7E8F2BCB"/>
    <w:rsid w:val="7ECA0C01"/>
    <w:rsid w:val="7EF73BB2"/>
    <w:rsid w:val="FFCD7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annotation text"/>
    <w:basedOn w:val="1"/>
    <w:link w:val="233"/>
    <w:semiHidden/>
    <w:unhideWhenUsed/>
    <w:qFormat/>
    <w:uiPriority w:val="99"/>
    <w:pPr>
      <w:jc w:val="left"/>
    </w:pPr>
  </w:style>
  <w:style w:type="paragraph" w:styleId="14">
    <w:name w:val="Body Text"/>
    <w:basedOn w:val="1"/>
    <w:link w:val="88"/>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unhideWhenUsed/>
    <w:qFormat/>
    <w:uiPriority w:val="39"/>
    <w:rPr>
      <w:rFonts w:ascii="宋体"/>
    </w:rPr>
  </w:style>
  <w:style w:type="paragraph" w:styleId="21">
    <w:name w:val="toc 4"/>
    <w:basedOn w:val="1"/>
    <w:next w:val="1"/>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unhideWhenUsed/>
    <w:qFormat/>
    <w:uiPriority w:val="39"/>
    <w:pPr>
      <w:tabs>
        <w:tab w:val="right" w:leader="dot" w:pos="9344"/>
      </w:tabs>
      <w:spacing w:line="300" w:lineRule="exact"/>
      <w:ind w:left="210"/>
    </w:pPr>
    <w:rPr>
      <w:rFonts w:ascii="宋体"/>
    </w:rPr>
  </w:style>
  <w:style w:type="paragraph" w:styleId="26">
    <w:name w:val="Title"/>
    <w:basedOn w:val="1"/>
    <w:link w:val="50"/>
    <w:qFormat/>
    <w:uiPriority w:val="0"/>
    <w:pPr>
      <w:spacing w:before="240" w:after="60"/>
      <w:jc w:val="center"/>
      <w:outlineLvl w:val="0"/>
    </w:pPr>
    <w:rPr>
      <w:rFonts w:ascii="Arial" w:hAnsi="Arial" w:cs="Arial"/>
      <w:b/>
      <w:bCs/>
      <w:sz w:val="32"/>
      <w:szCs w:val="32"/>
    </w:rPr>
  </w:style>
  <w:style w:type="table" w:styleId="28">
    <w:name w:val="Table Grid"/>
    <w:basedOn w:val="2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qFormat/>
    <w:uiPriority w:val="22"/>
    <w:rPr>
      <w:b/>
      <w:bCs/>
    </w:rPr>
  </w:style>
  <w:style w:type="character" w:styleId="31">
    <w:name w:val="page number"/>
    <w:qFormat/>
    <w:uiPriority w:val="0"/>
    <w:rPr>
      <w:rFonts w:ascii="宋体" w:hAnsi="Times New Roman" w:eastAsia="宋体"/>
      <w:sz w:val="18"/>
    </w:rPr>
  </w:style>
  <w:style w:type="character" w:styleId="32">
    <w:name w:val="Emphasis"/>
    <w:qFormat/>
    <w:uiPriority w:val="20"/>
    <w:rPr>
      <w:i/>
      <w:iCs/>
    </w:rPr>
  </w:style>
  <w:style w:type="character" w:styleId="33">
    <w:name w:val="Hyperlink"/>
    <w:qFormat/>
    <w:uiPriority w:val="99"/>
    <w:rPr>
      <w:rFonts w:ascii="宋体" w:hAnsi="Times New Roman" w:eastAsia="宋体"/>
      <w:color w:val="auto"/>
      <w:spacing w:val="0"/>
      <w:w w:val="100"/>
      <w:position w:val="0"/>
      <w:sz w:val="21"/>
      <w:u w:val="none"/>
      <w:vertAlign w:val="baseline"/>
    </w:rPr>
  </w:style>
  <w:style w:type="character" w:styleId="34">
    <w:name w:val="annotation reference"/>
    <w:basedOn w:val="29"/>
    <w:semiHidden/>
    <w:unhideWhenUsed/>
    <w:qFormat/>
    <w:uiPriority w:val="99"/>
    <w:rPr>
      <w:sz w:val="21"/>
      <w:szCs w:val="21"/>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0"/>
    <w:rPr>
      <w:rFonts w:ascii="Arial" w:hAnsi="Arial" w:eastAsia="黑体"/>
      <w:b/>
      <w:bCs/>
      <w:kern w:val="2"/>
      <w:sz w:val="32"/>
      <w:szCs w:val="32"/>
    </w:rPr>
  </w:style>
  <w:style w:type="character" w:customStyle="1" w:styleId="38">
    <w:name w:val="标题 3 字符"/>
    <w:link w:val="4"/>
    <w:qFormat/>
    <w:uiPriority w:val="0"/>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6"/>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link w:val="237"/>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link w:val="238"/>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link w:val="235"/>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link w:val="23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link w:val="239"/>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50" w:beforeLines="50" w:after="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semiHidden/>
    <w:qFormat/>
    <w:uiPriority w:val="0"/>
    <w:pPr>
      <w:adjustRightInd/>
      <w:spacing w:line="240" w:lineRule="auto"/>
      <w:jc w:val="left"/>
    </w:pPr>
    <w:rPr>
      <w:bCs/>
      <w:iCs/>
    </w:rPr>
  </w:style>
  <w:style w:type="paragraph" w:customStyle="1" w:styleId="145">
    <w:name w:val="目录 31"/>
    <w:basedOn w:val="1"/>
    <w:next w:val="1"/>
    <w:semiHidden/>
    <w:qFormat/>
    <w:uiPriority w:val="0"/>
    <w:pPr>
      <w:spacing w:line="240" w:lineRule="auto"/>
    </w:pPr>
    <w:rPr>
      <w:rFonts w:ascii="宋体" w:hAnsi="宋体"/>
      <w:iCs/>
    </w:rPr>
  </w:style>
  <w:style w:type="paragraph" w:customStyle="1" w:styleId="146">
    <w:name w:val="目录 41"/>
    <w:basedOn w:val="1"/>
    <w:next w:val="1"/>
    <w:semiHidden/>
    <w:qFormat/>
    <w:uiPriority w:val="0"/>
    <w:pPr>
      <w:adjustRightInd/>
      <w:spacing w:line="240" w:lineRule="auto"/>
      <w:jc w:val="left"/>
    </w:pPr>
  </w:style>
  <w:style w:type="paragraph" w:customStyle="1" w:styleId="147">
    <w:name w:val="目录 51"/>
    <w:basedOn w:val="1"/>
    <w:next w:val="1"/>
    <w:semiHidden/>
    <w:qFormat/>
    <w:uiPriority w:val="0"/>
    <w:pPr>
      <w:spacing w:line="240" w:lineRule="auto"/>
    </w:pPr>
    <w:rPr>
      <w:rFonts w:ascii="宋体" w:hAnsi="宋体"/>
    </w:rPr>
  </w:style>
  <w:style w:type="paragraph" w:customStyle="1" w:styleId="148">
    <w:name w:val="目录 61"/>
    <w:basedOn w:val="1"/>
    <w:next w:val="1"/>
    <w:semiHidden/>
    <w:qFormat/>
    <w:uiPriority w:val="0"/>
    <w:pPr>
      <w:adjustRightInd/>
      <w:spacing w:line="240" w:lineRule="auto"/>
      <w:jc w:val="left"/>
    </w:pPr>
  </w:style>
  <w:style w:type="paragraph" w:customStyle="1" w:styleId="149">
    <w:name w:val="目录 71"/>
    <w:basedOn w:val="148"/>
    <w:semiHidden/>
    <w:qFormat/>
    <w:uiPriority w:val="0"/>
    <w:pPr>
      <w:ind w:left="1260"/>
    </w:pPr>
  </w:style>
  <w:style w:type="paragraph" w:customStyle="1" w:styleId="150">
    <w:name w:val="目录 81"/>
    <w:basedOn w:val="149"/>
    <w:semiHidden/>
    <w:qFormat/>
    <w:uiPriority w:val="0"/>
    <w:pPr>
      <w:ind w:left="1470"/>
    </w:pPr>
  </w:style>
  <w:style w:type="paragraph" w:customStyle="1" w:styleId="151">
    <w:name w:val="目录 91"/>
    <w:basedOn w:val="150"/>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0" w:beforeLines="0" w:after="0" w:afterLines="0"/>
      <w:outlineLvl w:val="9"/>
    </w:pPr>
    <w:rPr>
      <w:rFonts w:ascii="宋体" w:eastAsia="宋体"/>
    </w:rPr>
  </w:style>
  <w:style w:type="paragraph" w:customStyle="1" w:styleId="165">
    <w:name w:val="标准文件_五级无标题"/>
    <w:basedOn w:val="105"/>
    <w:qFormat/>
    <w:uiPriority w:val="0"/>
    <w:pPr>
      <w:spacing w:before="0" w:beforeLines="0" w:after="0" w:afterLines="0"/>
      <w:outlineLvl w:val="9"/>
    </w:pPr>
    <w:rPr>
      <w:rFonts w:ascii="宋体" w:eastAsia="宋体"/>
    </w:rPr>
  </w:style>
  <w:style w:type="paragraph" w:customStyle="1" w:styleId="166">
    <w:name w:val="标准文件_三级无标题"/>
    <w:basedOn w:val="96"/>
    <w:qFormat/>
    <w:uiPriority w:val="0"/>
    <w:pPr>
      <w:spacing w:before="0" w:beforeLines="0" w:after="0" w:afterLines="0"/>
      <w:outlineLvl w:val="9"/>
    </w:pPr>
    <w:rPr>
      <w:rFonts w:ascii="宋体" w:eastAsia="宋体"/>
    </w:rPr>
  </w:style>
  <w:style w:type="paragraph" w:customStyle="1" w:styleId="167">
    <w:name w:val="标准文件_二级无标题"/>
    <w:basedOn w:val="67"/>
    <w:qFormat/>
    <w:uiPriority w:val="0"/>
    <w:pPr>
      <w:spacing w:before="0" w:beforeLines="0" w:after="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0" w:beforeLines="0" w:after="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29"/>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29"/>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vAnchor="page" w:hAnchor="page" w:x="1419" w:y="14097"/>
    </w:pPr>
  </w:style>
  <w:style w:type="paragraph" w:customStyle="1" w:styleId="196">
    <w:name w:val="其他实施日期"/>
    <w:basedOn w:val="156"/>
    <w:qFormat/>
    <w:uiPriority w:val="0"/>
    <w:pPr>
      <w:framePr w:w="3997" w:h="471" w:hRule="exact" w:vSpace="181"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50" w:beforeLines="50" w:after="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50" w:beforeLines="50" w:after="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50" w:beforeLines="50" w:after="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50" w:beforeLines="50" w:after="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50" w:beforeLines="50" w:after="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二级无标题"/>
    <w:basedOn w:val="81"/>
    <w:qFormat/>
    <w:uiPriority w:val="0"/>
    <w:pPr>
      <w:spacing w:before="0" w:beforeLines="0" w:after="0" w:afterLines="0" w:line="276" w:lineRule="auto"/>
      <w:outlineLvl w:val="9"/>
    </w:pPr>
    <w:rPr>
      <w:rFonts w:ascii="宋体" w:eastAsia="宋体"/>
    </w:rPr>
  </w:style>
  <w:style w:type="paragraph" w:customStyle="1" w:styleId="215">
    <w:name w:val="标准文件_附录三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四级无标题"/>
    <w:basedOn w:val="84"/>
    <w:qFormat/>
    <w:uiPriority w:val="0"/>
    <w:pPr>
      <w:spacing w:before="0" w:beforeLines="0" w:after="0" w:afterLines="0" w:line="276" w:lineRule="auto"/>
      <w:outlineLvl w:val="9"/>
    </w:pPr>
    <w:rPr>
      <w:rFonts w:ascii="宋体" w:eastAsia="宋体"/>
    </w:rPr>
  </w:style>
  <w:style w:type="paragraph" w:customStyle="1" w:styleId="217">
    <w:name w:val="标准文件_附录五级无标题"/>
    <w:basedOn w:val="86"/>
    <w:qFormat/>
    <w:uiPriority w:val="0"/>
    <w:pPr>
      <w:spacing w:before="0" w:beforeLines="0" w:after="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0" w:beforeLines="0" w:after="0" w:afterLines="0" w:line="276" w:lineRule="auto"/>
    </w:pPr>
    <w:rPr>
      <w:rFonts w:ascii="宋体" w:eastAsia="宋体"/>
    </w:rPr>
  </w:style>
  <w:style w:type="paragraph" w:customStyle="1" w:styleId="219">
    <w:name w:val="标准文件_引言二级无标题"/>
    <w:basedOn w:val="203"/>
    <w:next w:val="58"/>
    <w:qFormat/>
    <w:uiPriority w:val="0"/>
    <w:pPr>
      <w:spacing w:before="0" w:beforeLines="0" w:after="0" w:afterLines="0" w:line="276" w:lineRule="auto"/>
    </w:pPr>
    <w:rPr>
      <w:rFonts w:ascii="宋体" w:eastAsia="宋体"/>
    </w:rPr>
  </w:style>
  <w:style w:type="paragraph" w:customStyle="1" w:styleId="220">
    <w:name w:val="标准文件_引言三级无标题"/>
    <w:basedOn w:val="204"/>
    <w:qFormat/>
    <w:uiPriority w:val="0"/>
    <w:pPr>
      <w:spacing w:before="0" w:beforeLines="0" w:after="0" w:afterLines="0" w:line="276" w:lineRule="auto"/>
    </w:pPr>
    <w:rPr>
      <w:rFonts w:ascii="宋体" w:eastAsia="宋体"/>
    </w:rPr>
  </w:style>
  <w:style w:type="paragraph" w:customStyle="1" w:styleId="221">
    <w:name w:val="标准文件_引言四级无标题"/>
    <w:basedOn w:val="205"/>
    <w:next w:val="58"/>
    <w:qFormat/>
    <w:uiPriority w:val="0"/>
    <w:pPr>
      <w:spacing w:before="0" w:beforeLines="0" w:after="0" w:afterLines="0" w:line="276" w:lineRule="auto"/>
    </w:pPr>
    <w:rPr>
      <w:rFonts w:ascii="宋体" w:eastAsia="宋体"/>
    </w:rPr>
  </w:style>
  <w:style w:type="paragraph" w:customStyle="1" w:styleId="222">
    <w:name w:val="标准文件_引言五级无标题"/>
    <w:basedOn w:val="206"/>
    <w:next w:val="58"/>
    <w:qFormat/>
    <w:uiPriority w:val="0"/>
    <w:pPr>
      <w:spacing w:before="0" w:beforeLines="0" w:after="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qFormat/>
    <w:uiPriority w:val="0"/>
    <w:rPr>
      <w:rFonts w:ascii="黑体" w:eastAsia="黑体"/>
      <w:spacing w:val="85"/>
      <w:w w:val="100"/>
      <w:position w:val="3"/>
      <w:sz w:val="28"/>
      <w:szCs w:val="28"/>
    </w:rPr>
  </w:style>
  <w:style w:type="paragraph" w:customStyle="1" w:styleId="232">
    <w:name w:val="引用1"/>
    <w:basedOn w:val="1"/>
    <w:next w:val="1"/>
    <w:qFormat/>
    <w:uiPriority w:val="29"/>
    <w:rPr>
      <w:i/>
      <w:iCs/>
      <w:color w:val="000000"/>
    </w:rPr>
  </w:style>
  <w:style w:type="character" w:customStyle="1" w:styleId="233">
    <w:name w:val="批注文字 字符"/>
    <w:basedOn w:val="29"/>
    <w:link w:val="13"/>
    <w:semiHidden/>
    <w:qFormat/>
    <w:uiPriority w:val="99"/>
    <w:rPr>
      <w:kern w:val="2"/>
      <w:sz w:val="21"/>
      <w:szCs w:val="21"/>
    </w:rPr>
  </w:style>
  <w:style w:type="paragraph" w:styleId="234">
    <w:name w:val="List Paragraph"/>
    <w:basedOn w:val="1"/>
    <w:qFormat/>
    <w:uiPriority w:val="34"/>
    <w:pPr>
      <w:ind w:firstLine="420" w:firstLineChars="200"/>
    </w:pPr>
  </w:style>
  <w:style w:type="character" w:customStyle="1" w:styleId="235">
    <w:name w:val="标准文件_附录表标题 Char"/>
    <w:link w:val="79"/>
    <w:qFormat/>
    <w:uiPriority w:val="0"/>
    <w:rPr>
      <w:rFonts w:ascii="黑体" w:hAnsi="Times New Roman" w:eastAsia="黑体" w:cs="Times New Roman"/>
      <w:kern w:val="21"/>
      <w:sz w:val="21"/>
      <w:lang w:val="en-US" w:eastAsia="zh-CN" w:bidi="ar-SA"/>
    </w:rPr>
  </w:style>
  <w:style w:type="character" w:customStyle="1" w:styleId="236">
    <w:name w:val="标准文件_附录一级条标题 Char"/>
    <w:link w:val="80"/>
    <w:qFormat/>
    <w:uiPriority w:val="0"/>
    <w:rPr>
      <w:rFonts w:ascii="黑体" w:hAnsi="Times New Roman" w:eastAsia="黑体" w:cs="Times New Roman"/>
      <w:kern w:val="21"/>
      <w:sz w:val="21"/>
      <w:lang w:val="en-US" w:eastAsia="zh-CN" w:bidi="ar-SA"/>
    </w:rPr>
  </w:style>
  <w:style w:type="character" w:customStyle="1" w:styleId="237">
    <w:name w:val="标准文件_封面抬头 Char"/>
    <w:link w:val="77"/>
    <w:qFormat/>
    <w:uiPriority w:val="0"/>
    <w:rPr>
      <w:rFonts w:ascii="黑体" w:eastAsia="黑体"/>
      <w:b/>
      <w:sz w:val="64"/>
    </w:rPr>
  </w:style>
  <w:style w:type="character" w:customStyle="1" w:styleId="238">
    <w:name w:val="标准文件_附录标识 Char"/>
    <w:link w:val="78"/>
    <w:qFormat/>
    <w:uiPriority w:val="0"/>
    <w:rPr>
      <w:rFonts w:ascii="黑体" w:hAnsi="Times New Roman" w:eastAsia="黑体" w:cs="Times New Roman"/>
      <w:sz w:val="21"/>
      <w:lang w:val="en-US" w:eastAsia="zh-CN" w:bidi="ar-SA"/>
    </w:rPr>
  </w:style>
  <w:style w:type="character" w:customStyle="1" w:styleId="239">
    <w:name w:val="标准文件_附录二级条标题 Char"/>
    <w:link w:val="81"/>
    <w:qFormat/>
    <w:uiPriority w:val="0"/>
  </w:style>
  <w:style w:type="paragraph" w:customStyle="1" w:styleId="240">
    <w:name w:val="修订1"/>
    <w:hidden/>
    <w:semiHidden/>
    <w:qFormat/>
    <w:uiPriority w:val="99"/>
    <w:rPr>
      <w:rFonts w:ascii="Calibri" w:hAnsi="Calibri" w:eastAsia="宋体" w:cs="Times New Roman"/>
      <w:kern w:val="2"/>
      <w:sz w:val="21"/>
      <w:szCs w:val="21"/>
      <w:lang w:val="en-US" w:eastAsia="zh-CN" w:bidi="ar-SA"/>
    </w:rPr>
  </w:style>
  <w:style w:type="paragraph" w:customStyle="1" w:styleId="241">
    <w:name w:val="Revision"/>
    <w:hidden/>
    <w:semiHidden/>
    <w:qFormat/>
    <w:uiPriority w:val="99"/>
    <w:rPr>
      <w:rFonts w:ascii="Calibri" w:hAnsi="Calibri" w:eastAsia="宋体" w:cs="Times New Roman"/>
      <w:kern w:val="2"/>
      <w:sz w:val="21"/>
      <w:szCs w:val="21"/>
      <w:lang w:val="en-US" w:eastAsia="zh-CN" w:bidi="ar-SA"/>
    </w:rPr>
  </w:style>
  <w:style w:type="character" w:customStyle="1" w:styleId="242">
    <w:name w:val="段 Char"/>
    <w:link w:val="243"/>
    <w:qFormat/>
    <w:uiPriority w:val="0"/>
    <w:rPr>
      <w:rFonts w:ascii="宋体"/>
      <w:sz w:val="21"/>
    </w:rPr>
  </w:style>
  <w:style w:type="paragraph" w:customStyle="1" w:styleId="243">
    <w:name w:val="段"/>
    <w:link w:val="24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44">
    <w:name w:val="二级条标题 Char2"/>
    <w:link w:val="245"/>
    <w:qFormat/>
    <w:uiPriority w:val="0"/>
    <w:rPr>
      <w:rFonts w:ascii="黑体" w:eastAsia="黑体"/>
      <w:sz w:val="21"/>
      <w:szCs w:val="21"/>
    </w:rPr>
  </w:style>
  <w:style w:type="paragraph" w:customStyle="1" w:styleId="245">
    <w:name w:val="二级条标题"/>
    <w:basedOn w:val="246"/>
    <w:next w:val="243"/>
    <w:link w:val="244"/>
    <w:qFormat/>
    <w:uiPriority w:val="0"/>
    <w:pPr>
      <w:numPr>
        <w:ilvl w:val="2"/>
      </w:numPr>
      <w:tabs>
        <w:tab w:val="left" w:pos="1838"/>
      </w:tabs>
      <w:spacing w:before="50" w:beforeLines="0" w:after="50" w:afterLines="0"/>
      <w:outlineLvl w:val="3"/>
    </w:pPr>
  </w:style>
  <w:style w:type="paragraph" w:customStyle="1" w:styleId="246">
    <w:name w:val="一级条标题"/>
    <w:next w:val="243"/>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47">
    <w:name w:val="章标题"/>
    <w:next w:val="243"/>
    <w:qFormat/>
    <w:uiPriority w:val="0"/>
    <w:pPr>
      <w:tabs>
        <w:tab w:val="left" w:pos="1646"/>
      </w:tabs>
      <w:spacing w:before="312" w:beforeLines="100" w:after="312" w:afterLines="100"/>
      <w:ind w:left="1646" w:hanging="648"/>
      <w:jc w:val="both"/>
      <w:outlineLvl w:val="1"/>
    </w:pPr>
    <w:rPr>
      <w:rFonts w:ascii="黑体" w:hAnsi="Times New Roman" w:eastAsia="黑体" w:cs="Times New Roman"/>
      <w:sz w:val="21"/>
      <w:lang w:val="en-US" w:eastAsia="zh-CN" w:bidi="ar-SA"/>
    </w:rPr>
  </w:style>
  <w:style w:type="paragraph" w:customStyle="1" w:styleId="248">
    <w:name w:val="四级条标题"/>
    <w:basedOn w:val="249"/>
    <w:next w:val="243"/>
    <w:qFormat/>
    <w:uiPriority w:val="0"/>
    <w:pPr>
      <w:numPr>
        <w:ilvl w:val="4"/>
      </w:numPr>
      <w:tabs>
        <w:tab w:val="left" w:pos="1838"/>
      </w:tabs>
      <w:outlineLvl w:val="5"/>
    </w:pPr>
  </w:style>
  <w:style w:type="paragraph" w:customStyle="1" w:styleId="249">
    <w:name w:val="三级条标题"/>
    <w:basedOn w:val="245"/>
    <w:next w:val="243"/>
    <w:qFormat/>
    <w:uiPriority w:val="0"/>
    <w:pPr>
      <w:numPr>
        <w:ilvl w:val="3"/>
      </w:numPr>
      <w:outlineLvl w:val="4"/>
    </w:pPr>
  </w:style>
  <w:style w:type="paragraph" w:customStyle="1" w:styleId="250">
    <w:name w:val="Char Char Char Char Char Char Char Char Char Char Char Char Char"/>
    <w:basedOn w:val="1"/>
    <w:qFormat/>
    <w:uiPriority w:val="0"/>
    <w:pPr>
      <w:adjustRightInd/>
      <w:spacing w:line="240" w:lineRule="auto"/>
    </w:pPr>
    <w:rPr>
      <w:rFonts w:ascii="Times New Roman" w:hAnsi="Times New Roman"/>
      <w:szCs w:val="24"/>
    </w:rPr>
  </w:style>
  <w:style w:type="paragraph" w:customStyle="1" w:styleId="251">
    <w:name w:val="五级条标题"/>
    <w:basedOn w:val="248"/>
    <w:next w:val="243"/>
    <w:qFormat/>
    <w:uiPriority w:val="0"/>
    <w:pPr>
      <w:numPr>
        <w:ilvl w:val="5"/>
      </w:numPr>
      <w:outlineLvl w:val="6"/>
    </w:pPr>
  </w:style>
  <w:style w:type="paragraph" w:customStyle="1" w:styleId="252">
    <w:name w:val="目次、标准名称标题"/>
    <w:basedOn w:val="1"/>
    <w:next w:val="243"/>
    <w:qFormat/>
    <w:uiPriority w:val="0"/>
    <w:pPr>
      <w:keepNext/>
      <w:pageBreakBefore/>
      <w:widowControl/>
      <w:shd w:val="clear" w:color="FFFFFF" w:fill="FFFFFF"/>
      <w:adjustRightInd/>
      <w:spacing w:before="640" w:after="560" w:line="460" w:lineRule="exact"/>
      <w:jc w:val="center"/>
      <w:outlineLvl w:val="0"/>
    </w:pPr>
    <w:rPr>
      <w:rFonts w:ascii="黑体" w:hAnsi="Times New Roman" w:eastAsia="黑体"/>
      <w:kern w:val="0"/>
      <w:sz w:val="32"/>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glossaryDocument" Target="glossary/document.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image" Target="media/image1.tiff"/><Relationship Id="rId17" Type="http://schemas.openxmlformats.org/officeDocument/2006/relationships/theme" Target="theme/theme1.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scjdglj/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0602D070A3C4547855F3BB7B1485BBB"/>
        <w:style w:val=""/>
        <w:category>
          <w:name w:val="常规"/>
          <w:gallery w:val="placeholder"/>
        </w:category>
        <w:types>
          <w:type w:val="bbPlcHdr"/>
        </w:types>
        <w:behaviors>
          <w:behavior w:val="content"/>
        </w:behaviors>
        <w:description w:val=""/>
        <w:guid w:val="{0ECDA03E-7AC1-43A7-8BFF-0E3E76AD287D}"/>
      </w:docPartPr>
      <w:docPartBody>
        <w:p>
          <w:pPr>
            <w:pStyle w:val="5"/>
          </w:pPr>
          <w:r>
            <w:rPr>
              <w:rStyle w:val="4"/>
              <w:rFonts w:hint="eastAsia"/>
            </w:rPr>
            <w:t>单击或点击此处输入文字。</w:t>
          </w:r>
        </w:p>
      </w:docPartBody>
    </w:docPart>
    <w:docPart>
      <w:docPartPr>
        <w:name w:val="56CA43435A214042AE4FF1E08810765C"/>
        <w:style w:val=""/>
        <w:category>
          <w:name w:val="常规"/>
          <w:gallery w:val="placeholder"/>
        </w:category>
        <w:types>
          <w:type w:val="bbPlcHdr"/>
        </w:types>
        <w:behaviors>
          <w:behavior w:val="content"/>
        </w:behaviors>
        <w:description w:val=""/>
        <w:guid w:val="{43F86B62-C099-4DA5-BE27-AACC6B07388F}"/>
      </w:docPartPr>
      <w:docPartBody>
        <w:p>
          <w:pPr>
            <w:pStyle w:val="6"/>
          </w:pPr>
          <w:r>
            <w:rPr>
              <w:rStyle w:val="4"/>
              <w:rFonts w:hint="eastAsia"/>
            </w:rPr>
            <w:t>选择一项。</w:t>
          </w:r>
        </w:p>
      </w:docPartBody>
    </w:docPart>
    <w:docPart>
      <w:docPartPr>
        <w:name w:val="0B081B5B449B47CFBFF4AAEC63BFAFCD"/>
        <w:style w:val=""/>
        <w:category>
          <w:name w:val="常规"/>
          <w:gallery w:val="placeholder"/>
        </w:category>
        <w:types>
          <w:type w:val="bbPlcHdr"/>
        </w:types>
        <w:behaviors>
          <w:behavior w:val="content"/>
        </w:behaviors>
        <w:description w:val=""/>
        <w:guid w:val="{7564B253-1DFE-4F20-B01D-5B5E5A379151}"/>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B71"/>
    <w:rsid w:val="00002E98"/>
    <w:rsid w:val="00047C20"/>
    <w:rsid w:val="000F2C83"/>
    <w:rsid w:val="0011556E"/>
    <w:rsid w:val="00123371"/>
    <w:rsid w:val="00174803"/>
    <w:rsid w:val="00176B71"/>
    <w:rsid w:val="00180888"/>
    <w:rsid w:val="002E5E50"/>
    <w:rsid w:val="00356786"/>
    <w:rsid w:val="00420E66"/>
    <w:rsid w:val="005068F2"/>
    <w:rsid w:val="00586582"/>
    <w:rsid w:val="006F5AF1"/>
    <w:rsid w:val="00752512"/>
    <w:rsid w:val="00767527"/>
    <w:rsid w:val="00883DBD"/>
    <w:rsid w:val="008B608B"/>
    <w:rsid w:val="008D498F"/>
    <w:rsid w:val="009F430F"/>
    <w:rsid w:val="00C46B6A"/>
    <w:rsid w:val="00CB0444"/>
    <w:rsid w:val="00D67D6D"/>
    <w:rsid w:val="00FD58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C0602D070A3C4547855F3BB7B1485BB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56CA43435A214042AE4FF1E0881076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B081B5B449B47CFBFF4AAEC63BFAFC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Pages>
  <Words>963</Words>
  <Characters>5490</Characters>
  <Lines>45</Lines>
  <Paragraphs>12</Paragraphs>
  <TotalTime>1</TotalTime>
  <ScaleCrop>false</ScaleCrop>
  <LinksUpToDate>false</LinksUpToDate>
  <CharactersWithSpaces>6441</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2022-03-17T17:23:00Z</dcterms:created>
  <dc:creator>潘亮</dc:creator>
  <dc:description>&lt;config cover="true" show_menu="true" version="1.0.0" doctype="SDKXY"&gt;_x000d_
&lt;/config&gt;</dc:description>
  <cp:lastModifiedBy>scjdglj</cp:lastModifiedBy>
  <cp:lastPrinted>2022-06-10T18:20:00Z</cp:lastPrinted>
  <dcterms:modified xsi:type="dcterms:W3CDTF">2022-07-13T16:13:54Z</dcterms:modified>
  <dc:title>地方标准</dc:title>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2052-11.8.2.10422</vt:lpwstr>
  </property>
  <property fmtid="{D5CDD505-2E9C-101B-9397-08002B2CF9AE}" pid="15" name="ICV">
    <vt:lpwstr>0510F0E1208E4B06B655BD5B863A3227</vt:lpwstr>
  </property>
  <property fmtid="{D5CDD505-2E9C-101B-9397-08002B2CF9AE}" pid="16" name="DoublePage">
    <vt:lpwstr>true</vt:lpwstr>
  </property>
</Properties>
</file>